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A7F11D" w14:textId="77777777" w:rsidR="00D5434C" w:rsidRPr="004818B2" w:rsidRDefault="000715E4" w:rsidP="00D5434C">
      <w:r w:rsidRPr="004818B2">
        <w:rPr>
          <w:noProof/>
          <w:lang w:eastAsia="en-GB"/>
        </w:rPr>
        <w:drawing>
          <wp:anchor distT="0" distB="0" distL="114300" distR="114300" simplePos="0" relativeHeight="251657728" behindDoc="0" locked="0" layoutInCell="1" allowOverlap="1" wp14:anchorId="738E3A73" wp14:editId="3265321C">
            <wp:simplePos x="0" y="0"/>
            <wp:positionH relativeFrom="column">
              <wp:posOffset>-72390</wp:posOffset>
            </wp:positionH>
            <wp:positionV relativeFrom="paragraph">
              <wp:posOffset>-24765</wp:posOffset>
            </wp:positionV>
            <wp:extent cx="885825" cy="752475"/>
            <wp:effectExtent l="0" t="0" r="0" b="0"/>
            <wp:wrapNone/>
            <wp:docPr id="47" name="Picture 45" descr="UHS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UHS5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5825" cy="7524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818B2">
        <w:rPr>
          <w:noProof/>
          <w:lang w:eastAsia="en-GB"/>
        </w:rPr>
        <mc:AlternateContent>
          <mc:Choice Requires="wps">
            <w:drawing>
              <wp:anchor distT="0" distB="0" distL="114300" distR="114300" simplePos="0" relativeHeight="251658752" behindDoc="0" locked="0" layoutInCell="1" allowOverlap="1" wp14:anchorId="6F401809" wp14:editId="08E7167F">
                <wp:simplePos x="0" y="0"/>
                <wp:positionH relativeFrom="column">
                  <wp:posOffset>4794885</wp:posOffset>
                </wp:positionH>
                <wp:positionV relativeFrom="paragraph">
                  <wp:posOffset>-120015</wp:posOffset>
                </wp:positionV>
                <wp:extent cx="2073910" cy="603250"/>
                <wp:effectExtent l="0" t="0" r="2540" b="63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3910" cy="603250"/>
                        </a:xfrm>
                        <a:prstGeom prst="rect">
                          <a:avLst/>
                        </a:prstGeom>
                        <a:solidFill>
                          <a:srgbClr val="FFFFFF"/>
                        </a:solidFill>
                        <a:ln w="9525">
                          <a:solidFill>
                            <a:srgbClr val="000000"/>
                          </a:solidFill>
                          <a:miter lim="800000"/>
                          <a:headEnd/>
                          <a:tailEnd/>
                        </a:ln>
                      </wps:spPr>
                      <wps:txbx>
                        <w:txbxContent>
                          <w:p w14:paraId="1A6EB838" w14:textId="1E1A3C7B" w:rsidR="00E80E94" w:rsidRPr="009A2F52" w:rsidRDefault="004818B2" w:rsidP="00D5434C">
                            <w:pPr>
                              <w:rPr>
                                <w:rFonts w:cs="Calibri"/>
                                <w:sz w:val="20"/>
                                <w:szCs w:val="20"/>
                              </w:rPr>
                            </w:pPr>
                            <w:r>
                              <w:rPr>
                                <w:rFonts w:cs="Calibri"/>
                                <w:sz w:val="20"/>
                                <w:szCs w:val="20"/>
                              </w:rPr>
                              <w:t>Careers</w:t>
                            </w:r>
                            <w:r w:rsidR="001D4095">
                              <w:rPr>
                                <w:rFonts w:cs="Calibri"/>
                                <w:sz w:val="20"/>
                                <w:szCs w:val="20"/>
                              </w:rPr>
                              <w:t xml:space="preserve"> Policy</w:t>
                            </w:r>
                            <w:r w:rsidR="00E80E94">
                              <w:rPr>
                                <w:rFonts w:cs="Calibri"/>
                                <w:sz w:val="20"/>
                                <w:szCs w:val="20"/>
                              </w:rPr>
                              <w:br/>
                            </w:r>
                            <w:r w:rsidR="002322B8">
                              <w:rPr>
                                <w:rFonts w:cs="Calibri"/>
                                <w:sz w:val="20"/>
                                <w:szCs w:val="20"/>
                              </w:rPr>
                              <w:t>Last review:</w:t>
                            </w:r>
                            <w:r w:rsidR="00482753">
                              <w:rPr>
                                <w:rFonts w:cs="Calibri"/>
                                <w:sz w:val="20"/>
                                <w:szCs w:val="20"/>
                              </w:rPr>
                              <w:t xml:space="preserve"> </w:t>
                            </w:r>
                            <w:r w:rsidR="00190E3E">
                              <w:rPr>
                                <w:rFonts w:cs="Calibri"/>
                                <w:sz w:val="20"/>
                                <w:szCs w:val="20"/>
                              </w:rPr>
                              <w:t>July 2024</w:t>
                            </w:r>
                            <w:r w:rsidR="002322B8">
                              <w:rPr>
                                <w:rFonts w:cs="Calibri"/>
                                <w:sz w:val="20"/>
                                <w:szCs w:val="20"/>
                              </w:rPr>
                              <w:br/>
                              <w:t xml:space="preserve">Reviewed by </w:t>
                            </w:r>
                            <w:r w:rsidR="00482753">
                              <w:rPr>
                                <w:rFonts w:cs="Calibri"/>
                                <w:sz w:val="20"/>
                                <w:szCs w:val="20"/>
                              </w:rPr>
                              <w:t>AMU</w:t>
                            </w:r>
                          </w:p>
                          <w:p w14:paraId="249DF644" w14:textId="77777777" w:rsidR="00E80E94" w:rsidRDefault="00E80E94" w:rsidP="00D5434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F401809" id="_x0000_t202" coordsize="21600,21600" o:spt="202" path="m,l,21600r21600,l21600,xe">
                <v:stroke joinstyle="miter"/>
                <v:path gradientshapeok="t" o:connecttype="rect"/>
              </v:shapetype>
              <v:shape id="Text Box 2" o:spid="_x0000_s1026" type="#_x0000_t202" style="position:absolute;margin-left:377.55pt;margin-top:-9.45pt;width:163.3pt;height:4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">
                <v:textbox>
                  <w:txbxContent>
                    <w:p w14:paraId="1A6EB838" w14:textId="1E1A3C7B" w:rsidR="00E80E94" w:rsidRPr="009A2F52" w:rsidRDefault="004818B2" w:rsidP="00D5434C">
                      <w:pPr>
                        <w:rPr>
                          <w:rFonts w:cs="Calibri"/>
                          <w:sz w:val="20"/>
                          <w:szCs w:val="20"/>
                        </w:rPr>
                      </w:pPr>
                      <w:r>
                        <w:rPr>
                          <w:rFonts w:cs="Calibri"/>
                          <w:sz w:val="20"/>
                          <w:szCs w:val="20"/>
                        </w:rPr>
                        <w:t>Careers</w:t>
                      </w:r>
                      <w:r w:rsidR="001D4095">
                        <w:rPr>
                          <w:rFonts w:cs="Calibri"/>
                          <w:sz w:val="20"/>
                          <w:szCs w:val="20"/>
                        </w:rPr>
                        <w:t xml:space="preserve"> Policy</w:t>
                      </w:r>
                      <w:r w:rsidR="00E80E94">
                        <w:rPr>
                          <w:rFonts w:cs="Calibri"/>
                          <w:sz w:val="20"/>
                          <w:szCs w:val="20"/>
                        </w:rPr>
                        <w:br/>
                      </w:r>
                      <w:r w:rsidR="002322B8">
                        <w:rPr>
                          <w:rFonts w:cs="Calibri"/>
                          <w:sz w:val="20"/>
                          <w:szCs w:val="20"/>
                        </w:rPr>
                        <w:t>Last review:</w:t>
                      </w:r>
                      <w:r w:rsidR="00482753">
                        <w:rPr>
                          <w:rFonts w:cs="Calibri"/>
                          <w:sz w:val="20"/>
                          <w:szCs w:val="20"/>
                        </w:rPr>
                        <w:t xml:space="preserve"> </w:t>
                      </w:r>
                      <w:r w:rsidR="00190E3E">
                        <w:rPr>
                          <w:rFonts w:cs="Calibri"/>
                          <w:sz w:val="20"/>
                          <w:szCs w:val="20"/>
                        </w:rPr>
                        <w:t>July 2024</w:t>
                      </w:r>
                      <w:r w:rsidR="002322B8">
                        <w:rPr>
                          <w:rFonts w:cs="Calibri"/>
                          <w:sz w:val="20"/>
                          <w:szCs w:val="20"/>
                        </w:rPr>
                        <w:br/>
                        <w:t xml:space="preserve">Reviewed by </w:t>
                      </w:r>
                      <w:r w:rsidR="00482753">
                        <w:rPr>
                          <w:rFonts w:cs="Calibri"/>
                          <w:sz w:val="20"/>
                          <w:szCs w:val="20"/>
                        </w:rPr>
                        <w:t>AMU</w:t>
                      </w:r>
                    </w:p>
                    <w:p w14:paraId="249DF644" w14:textId="77777777" w:rsidR="00E80E94" w:rsidRDefault="00E80E94" w:rsidP="00D5434C"/>
                  </w:txbxContent>
                </v:textbox>
              </v:shape>
            </w:pict>
          </mc:Fallback>
        </mc:AlternateContent>
      </w:r>
    </w:p>
    <w:p w14:paraId="77D9C4C4" w14:textId="4FC77D28" w:rsidR="00B473B7" w:rsidRPr="004818B2" w:rsidRDefault="000715E4" w:rsidP="00D5434C">
      <w:pPr>
        <w:pStyle w:val="Title"/>
        <w:rPr>
          <w:sz w:val="22"/>
          <w:szCs w:val="22"/>
        </w:rPr>
      </w:pPr>
      <w:r w:rsidRPr="004818B2">
        <w:rPr>
          <w:rFonts w:eastAsia="Calibri"/>
          <w:noProof/>
          <w:kern w:val="0"/>
          <w:sz w:val="22"/>
          <w:szCs w:val="22"/>
          <w:lang w:eastAsia="en-GB"/>
        </w:rPr>
        <mc:AlternateContent>
          <mc:Choice Requires="wps">
            <w:drawing>
              <wp:anchor distT="0" distB="0" distL="114300" distR="114300" simplePos="0" relativeHeight="251656704" behindDoc="0" locked="0" layoutInCell="1" allowOverlap="1" wp14:anchorId="2456B81E" wp14:editId="2DE2104C">
                <wp:simplePos x="0" y="0"/>
                <wp:positionH relativeFrom="column">
                  <wp:posOffset>3232785</wp:posOffset>
                </wp:positionH>
                <wp:positionV relativeFrom="paragraph">
                  <wp:posOffset>9900285</wp:posOffset>
                </wp:positionV>
                <wp:extent cx="352425" cy="190500"/>
                <wp:effectExtent l="13335" t="12700" r="5715" b="6350"/>
                <wp:wrapNone/>
                <wp:docPr id="1"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190500"/>
                        </a:xfrm>
                        <a:prstGeom prst="rect">
                          <a:avLst/>
                        </a:prstGeom>
                        <a:solidFill>
                          <a:srgbClr val="FFFFFF"/>
                        </a:solidFill>
                        <a:ln w="9525">
                          <a:solidFill>
                            <a:srgbClr val="FFFFFF"/>
                          </a:solidFill>
                          <a:miter lim="800000"/>
                          <a:headEnd/>
                          <a:tailEnd/>
                        </a:ln>
                      </wps:spPr>
                      <wps:txbx>
                        <w:txbxContent>
                          <w:p w14:paraId="4339755B" w14:textId="77777777" w:rsidR="00E80E94" w:rsidRDefault="00E80E9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 o:spid="_x0000_s1027" type="#_x0000_t202" style="position:absolute;margin-left:254.55pt;margin-top:779.55pt;width:27.75pt;height: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" strokecolor="white">
                <v:textbox>
                  <w:txbxContent>
                    <w:p w:rsidR="00E80E94" w:rsidRDefault="00E80E94"/>
                  </w:txbxContent>
                </v:textbox>
              </v:shape>
            </w:pict>
          </mc:Fallback>
        </mc:AlternateContent>
      </w:r>
      <w:r w:rsidR="00D5434C" w:rsidRPr="004818B2">
        <w:rPr>
          <w:sz w:val="22"/>
          <w:szCs w:val="22"/>
        </w:rPr>
        <w:t xml:space="preserve">            Upton </w:t>
      </w:r>
      <w:proofErr w:type="spellStart"/>
      <w:r w:rsidR="00175291">
        <w:rPr>
          <w:sz w:val="22"/>
          <w:szCs w:val="22"/>
        </w:rPr>
        <w:t>Upton</w:t>
      </w:r>
      <w:proofErr w:type="spellEnd"/>
      <w:r w:rsidR="00175291">
        <w:rPr>
          <w:sz w:val="22"/>
          <w:szCs w:val="22"/>
        </w:rPr>
        <w:t xml:space="preserve"> </w:t>
      </w:r>
      <w:r w:rsidR="00D5434C" w:rsidRPr="004818B2">
        <w:rPr>
          <w:sz w:val="22"/>
          <w:szCs w:val="22"/>
        </w:rPr>
        <w:t xml:space="preserve">Hall School </w:t>
      </w:r>
      <w:r w:rsidR="00190E3E">
        <w:rPr>
          <w:sz w:val="22"/>
          <w:szCs w:val="22"/>
        </w:rPr>
        <w:t>FCJ</w:t>
      </w:r>
    </w:p>
    <w:p w14:paraId="785E8E3B" w14:textId="77777777" w:rsidR="00685411" w:rsidRPr="00C800DF" w:rsidRDefault="00685411" w:rsidP="004D30CC">
      <w:pPr>
        <w:pStyle w:val="Heading1"/>
        <w:spacing w:before="0" w:line="240" w:lineRule="auto"/>
        <w:rPr>
          <w:rFonts w:cs="Calibri"/>
          <w:sz w:val="36"/>
          <w:szCs w:val="36"/>
        </w:rPr>
      </w:pPr>
    </w:p>
    <w:p w14:paraId="5E837786" w14:textId="77777777" w:rsidR="0004608C" w:rsidRPr="00C800DF" w:rsidRDefault="0004608C" w:rsidP="00C800DF">
      <w:pPr>
        <w:pStyle w:val="Heading1"/>
        <w:spacing w:before="0" w:line="240" w:lineRule="auto"/>
        <w:jc w:val="center"/>
        <w:rPr>
          <w:rFonts w:cs="Calibri"/>
          <w:sz w:val="36"/>
          <w:szCs w:val="36"/>
        </w:rPr>
      </w:pPr>
      <w:r w:rsidRPr="00C800DF">
        <w:rPr>
          <w:rFonts w:cs="Calibri"/>
          <w:sz w:val="36"/>
          <w:szCs w:val="36"/>
        </w:rPr>
        <w:t>Careers Policy</w:t>
      </w:r>
      <w:bookmarkStart w:id="0" w:name="TOC"/>
      <w:bookmarkStart w:id="1" w:name="Begin"/>
      <w:bookmarkEnd w:id="0"/>
      <w:bookmarkEnd w:id="1"/>
    </w:p>
    <w:p w14:paraId="748D46E3" w14:textId="77777777" w:rsidR="0004608C" w:rsidRPr="004818B2" w:rsidRDefault="004818B2" w:rsidP="004818B2">
      <w:pPr>
        <w:pStyle w:val="Heading1"/>
        <w:spacing w:before="0" w:line="240" w:lineRule="auto"/>
        <w:rPr>
          <w:rFonts w:cs="Calibri"/>
          <w:sz w:val="22"/>
          <w:szCs w:val="22"/>
        </w:rPr>
      </w:pPr>
      <w:r w:rsidRPr="004818B2">
        <w:rPr>
          <w:rFonts w:cs="Calibri"/>
          <w:sz w:val="22"/>
          <w:szCs w:val="22"/>
        </w:rPr>
        <w:t>Introduction</w:t>
      </w:r>
    </w:p>
    <w:p w14:paraId="6AE5724A" w14:textId="77777777" w:rsidR="0004608C" w:rsidRPr="004818B2" w:rsidRDefault="0004608C" w:rsidP="0004608C">
      <w:pPr>
        <w:spacing w:after="0"/>
        <w:rPr>
          <w:rFonts w:cs="Calibri"/>
        </w:rPr>
      </w:pPr>
      <w:r w:rsidRPr="004818B2">
        <w:rPr>
          <w:rFonts w:cs="Calibri"/>
        </w:rPr>
        <w:t>Careers education, information, advice and guidance (CEIAG) is an essential part of the support we offer to pupils and students at Upton Hall School. Effective careers support is a vital part of the curriculum and helps to prepare young people for the opportunities, responsibilities and experiences they will encounter as they prepare for transition within school or their transition to post-16 destinations, post-18 destinations and beyond. As options for young people become more varied and complex, it is vital that we support our pupils and students to develop the knowledge and skills they need to make informed choices for their future. Whilst the structured programme is clearly defined, it is incumbent on all members of staff to take the opportunities, when they arise, to support the delivery of CEIAG provision both within and beyond the taught curriculum.</w:t>
      </w:r>
    </w:p>
    <w:p w14:paraId="7F5E7C96" w14:textId="77777777" w:rsidR="0004608C" w:rsidRPr="004818B2" w:rsidRDefault="0004608C" w:rsidP="0004608C">
      <w:pPr>
        <w:spacing w:after="0"/>
        <w:rPr>
          <w:rFonts w:cs="Calibri"/>
        </w:rPr>
      </w:pPr>
    </w:p>
    <w:p w14:paraId="66DE827F" w14:textId="77777777" w:rsidR="0004608C" w:rsidRPr="004818B2" w:rsidRDefault="0004608C" w:rsidP="0004608C">
      <w:pPr>
        <w:spacing w:after="0"/>
        <w:rPr>
          <w:rFonts w:cs="Calibri"/>
        </w:rPr>
      </w:pPr>
      <w:r w:rsidRPr="004818B2">
        <w:rPr>
          <w:rFonts w:cs="Calibri"/>
        </w:rPr>
        <w:t>This policy sets out how career activities are delivered at school and explains what stakeholders can expect from the careers programme.</w:t>
      </w:r>
    </w:p>
    <w:p w14:paraId="014133A8" w14:textId="77777777" w:rsidR="0004608C" w:rsidRPr="004818B2" w:rsidRDefault="0004608C" w:rsidP="0004608C">
      <w:pPr>
        <w:spacing w:after="0"/>
        <w:rPr>
          <w:rFonts w:cs="Calibri"/>
          <w:b/>
        </w:rPr>
      </w:pPr>
    </w:p>
    <w:p w14:paraId="3D676EA0" w14:textId="77777777" w:rsidR="004818B2" w:rsidRPr="004818B2" w:rsidRDefault="004818B2" w:rsidP="004818B2">
      <w:pPr>
        <w:pStyle w:val="Heading1"/>
        <w:spacing w:before="0" w:line="240" w:lineRule="auto"/>
        <w:rPr>
          <w:rFonts w:cs="Calibri"/>
          <w:sz w:val="22"/>
          <w:szCs w:val="22"/>
        </w:rPr>
      </w:pPr>
      <w:r w:rsidRPr="004818B2">
        <w:rPr>
          <w:rFonts w:cs="Calibri"/>
          <w:sz w:val="22"/>
          <w:szCs w:val="22"/>
        </w:rPr>
        <w:t>Aims and objectives</w:t>
      </w:r>
    </w:p>
    <w:p w14:paraId="440BCB9D" w14:textId="77777777" w:rsidR="0004608C" w:rsidRPr="004818B2" w:rsidRDefault="004818B2" w:rsidP="0004608C">
      <w:pPr>
        <w:spacing w:after="0"/>
        <w:rPr>
          <w:rFonts w:cs="Calibri"/>
        </w:rPr>
      </w:pPr>
      <w:r w:rsidRPr="004818B2">
        <w:rPr>
          <w:rFonts w:cs="Calibri"/>
        </w:rPr>
        <w:t xml:space="preserve">The </w:t>
      </w:r>
      <w:r w:rsidR="0004608C" w:rsidRPr="004818B2">
        <w:rPr>
          <w:rFonts w:cs="Calibri"/>
        </w:rPr>
        <w:t xml:space="preserve">Upton Hall </w:t>
      </w:r>
      <w:r w:rsidRPr="004818B2">
        <w:rPr>
          <w:rFonts w:cs="Calibri"/>
        </w:rPr>
        <w:t>C</w:t>
      </w:r>
      <w:r w:rsidR="0004608C" w:rsidRPr="004818B2">
        <w:rPr>
          <w:rFonts w:cs="Calibri"/>
        </w:rPr>
        <w:t>areers programme aims to:</w:t>
      </w:r>
    </w:p>
    <w:p w14:paraId="138F2306" w14:textId="77777777" w:rsidR="0004608C" w:rsidRPr="004818B2" w:rsidRDefault="0004608C" w:rsidP="0004608C">
      <w:pPr>
        <w:spacing w:after="0"/>
        <w:rPr>
          <w:rFonts w:cs="Calibri"/>
        </w:rPr>
      </w:pPr>
    </w:p>
    <w:p w14:paraId="753F609D" w14:textId="77777777" w:rsidR="0004608C" w:rsidRDefault="0004608C" w:rsidP="0004608C">
      <w:pPr>
        <w:pStyle w:val="ListParagraph"/>
        <w:numPr>
          <w:ilvl w:val="0"/>
          <w:numId w:val="6"/>
        </w:numPr>
        <w:spacing w:after="0"/>
        <w:jc w:val="both"/>
        <w:rPr>
          <w:rFonts w:cs="Calibri"/>
        </w:rPr>
      </w:pPr>
      <w:r w:rsidRPr="004818B2">
        <w:rPr>
          <w:rFonts w:cs="Calibri"/>
        </w:rPr>
        <w:t>encourage students to be ambitious, broaden their horizons and explore their own career aspirations throughout their time at school</w:t>
      </w:r>
    </w:p>
    <w:p w14:paraId="1B6A5329" w14:textId="77777777" w:rsidR="007B6461" w:rsidRDefault="007B6461" w:rsidP="0004608C">
      <w:pPr>
        <w:pStyle w:val="ListParagraph"/>
        <w:numPr>
          <w:ilvl w:val="0"/>
          <w:numId w:val="6"/>
        </w:numPr>
        <w:spacing w:after="0"/>
        <w:jc w:val="both"/>
        <w:rPr>
          <w:rFonts w:cs="Calibri"/>
        </w:rPr>
      </w:pPr>
      <w:r>
        <w:rPr>
          <w:rFonts w:cs="Calibri"/>
        </w:rPr>
        <w:t xml:space="preserve">present information in an impartial manner </w:t>
      </w:r>
    </w:p>
    <w:p w14:paraId="59050391" w14:textId="77777777" w:rsidR="007B6461" w:rsidRPr="004818B2" w:rsidRDefault="007B6461" w:rsidP="0004608C">
      <w:pPr>
        <w:pStyle w:val="ListParagraph"/>
        <w:numPr>
          <w:ilvl w:val="0"/>
          <w:numId w:val="6"/>
        </w:numPr>
        <w:spacing w:after="0"/>
        <w:jc w:val="both"/>
        <w:rPr>
          <w:rFonts w:cs="Calibri"/>
        </w:rPr>
      </w:pPr>
      <w:r>
        <w:rPr>
          <w:rFonts w:cs="Calibri"/>
        </w:rPr>
        <w:t>provide information on the range of education or training options</w:t>
      </w:r>
    </w:p>
    <w:p w14:paraId="3066A9F1" w14:textId="77777777" w:rsidR="0004608C" w:rsidRPr="004818B2" w:rsidRDefault="0004608C" w:rsidP="0004608C">
      <w:pPr>
        <w:pStyle w:val="ListParagraph"/>
        <w:numPr>
          <w:ilvl w:val="0"/>
          <w:numId w:val="6"/>
        </w:numPr>
        <w:spacing w:after="0"/>
        <w:rPr>
          <w:rFonts w:cs="Calibri"/>
        </w:rPr>
      </w:pPr>
      <w:r w:rsidRPr="004818B2">
        <w:rPr>
          <w:rFonts w:cs="Calibri"/>
        </w:rPr>
        <w:t>ensure students’ readiness to take their next step in their learning or career.</w:t>
      </w:r>
    </w:p>
    <w:p w14:paraId="6D925B57" w14:textId="77777777" w:rsidR="0004608C" w:rsidRPr="004818B2" w:rsidRDefault="0004608C" w:rsidP="0004608C">
      <w:pPr>
        <w:spacing w:after="0"/>
        <w:rPr>
          <w:rFonts w:cs="Calibri"/>
        </w:rPr>
      </w:pPr>
    </w:p>
    <w:p w14:paraId="22C6FBD0" w14:textId="77777777" w:rsidR="0004608C" w:rsidRPr="004818B2" w:rsidRDefault="0004608C" w:rsidP="00C800DF">
      <w:pPr>
        <w:rPr>
          <w:rFonts w:cs="Calibri"/>
        </w:rPr>
      </w:pPr>
      <w:r w:rsidRPr="004818B2">
        <w:rPr>
          <w:rFonts w:cs="Calibri"/>
        </w:rPr>
        <w:t>The careers programme is designed to meet the needs of students at Upton Hall School.  It is differentiated and personalised to ensure progression through activities that are appropriate to pupils’ stages of career lear</w:t>
      </w:r>
      <w:r w:rsidR="00C800DF">
        <w:rPr>
          <w:rFonts w:cs="Calibri"/>
        </w:rPr>
        <w:t xml:space="preserve">ning, planning and development.   </w:t>
      </w:r>
      <w:r w:rsidRPr="004818B2">
        <w:rPr>
          <w:rFonts w:cs="Calibri"/>
        </w:rPr>
        <w:t xml:space="preserve">Pupils are entitled to CEIAG which meets professional standards of practice and which is person-centred, impartial and confidential.  It will be integrated into students’ experience of the whole curriculum and is based on a partnership with pupils and their parents /carers.  </w:t>
      </w:r>
    </w:p>
    <w:p w14:paraId="46B720EC" w14:textId="77777777" w:rsidR="0004608C" w:rsidRPr="004818B2" w:rsidRDefault="0004608C" w:rsidP="0004608C">
      <w:pPr>
        <w:spacing w:after="0"/>
        <w:rPr>
          <w:rFonts w:cs="Calibri"/>
        </w:rPr>
      </w:pPr>
      <w:r w:rsidRPr="004818B2">
        <w:rPr>
          <w:rFonts w:cs="Calibri"/>
        </w:rPr>
        <w:t xml:space="preserve">Upton Hall School is a member of the Liverpool City Region Careers Hub. As a member of the Careers </w:t>
      </w:r>
      <w:proofErr w:type="gramStart"/>
      <w:r w:rsidRPr="004818B2">
        <w:rPr>
          <w:rFonts w:cs="Calibri"/>
        </w:rPr>
        <w:t>Hub</w:t>
      </w:r>
      <w:proofErr w:type="gramEnd"/>
      <w:r w:rsidRPr="004818B2">
        <w:rPr>
          <w:rFonts w:cs="Calibri"/>
        </w:rPr>
        <w:t xml:space="preserve"> we are actively working towards the recommendations of the Gatsby Benchmarks.</w:t>
      </w:r>
    </w:p>
    <w:p w14:paraId="7A76C6B6" w14:textId="77777777" w:rsidR="0004608C" w:rsidRPr="004818B2" w:rsidRDefault="0004608C" w:rsidP="0004608C">
      <w:pPr>
        <w:spacing w:after="0"/>
        <w:rPr>
          <w:rFonts w:cs="Calibri"/>
        </w:rPr>
      </w:pPr>
    </w:p>
    <w:p w14:paraId="39B2312C" w14:textId="77777777" w:rsidR="0004608C" w:rsidRPr="004818B2" w:rsidRDefault="0004608C" w:rsidP="0004608C">
      <w:pPr>
        <w:spacing w:after="0"/>
        <w:rPr>
          <w:rFonts w:cs="Calibri"/>
        </w:rPr>
      </w:pPr>
      <w:r w:rsidRPr="004818B2">
        <w:rPr>
          <w:rFonts w:cs="Calibri"/>
        </w:rPr>
        <w:t xml:space="preserve">The objectives for the careers programme are to: </w:t>
      </w:r>
    </w:p>
    <w:p w14:paraId="041544F9" w14:textId="77777777" w:rsidR="0004608C" w:rsidRPr="004818B2" w:rsidRDefault="0004608C" w:rsidP="0004608C">
      <w:pPr>
        <w:pStyle w:val="ListParagraph"/>
        <w:numPr>
          <w:ilvl w:val="0"/>
          <w:numId w:val="6"/>
        </w:numPr>
        <w:spacing w:after="0"/>
        <w:rPr>
          <w:rFonts w:cs="Calibri"/>
        </w:rPr>
      </w:pPr>
      <w:r w:rsidRPr="004818B2">
        <w:rPr>
          <w:rFonts w:cs="Calibri"/>
        </w:rPr>
        <w:t>help students to understand the changing world of work;</w:t>
      </w:r>
    </w:p>
    <w:p w14:paraId="3F03ABB8" w14:textId="77777777" w:rsidR="0004608C" w:rsidRPr="004818B2" w:rsidRDefault="0004608C" w:rsidP="0004608C">
      <w:pPr>
        <w:pStyle w:val="ListParagraph"/>
        <w:numPr>
          <w:ilvl w:val="0"/>
          <w:numId w:val="6"/>
        </w:numPr>
        <w:spacing w:after="0"/>
        <w:rPr>
          <w:rFonts w:cs="Calibri"/>
        </w:rPr>
      </w:pPr>
      <w:r w:rsidRPr="004818B2">
        <w:rPr>
          <w:rFonts w:cs="Calibri"/>
        </w:rPr>
        <w:t>facilitate meaningful encounters with employers for all students;</w:t>
      </w:r>
    </w:p>
    <w:p w14:paraId="0ADF9294" w14:textId="77777777" w:rsidR="0004608C" w:rsidRPr="004818B2" w:rsidRDefault="0004608C" w:rsidP="0004608C">
      <w:pPr>
        <w:pStyle w:val="ListParagraph"/>
        <w:numPr>
          <w:ilvl w:val="0"/>
          <w:numId w:val="6"/>
        </w:numPr>
        <w:spacing w:after="0"/>
        <w:rPr>
          <w:rFonts w:cs="Calibri"/>
        </w:rPr>
      </w:pPr>
      <w:r w:rsidRPr="004818B2">
        <w:rPr>
          <w:rFonts w:cs="Calibri"/>
        </w:rPr>
        <w:t>support positive transitions to all appropriate post-16 and post-18 destinations;</w:t>
      </w:r>
    </w:p>
    <w:p w14:paraId="3E06FE59" w14:textId="77777777" w:rsidR="0004608C" w:rsidRPr="004818B2" w:rsidRDefault="0004608C" w:rsidP="0004608C">
      <w:pPr>
        <w:pStyle w:val="ListParagraph"/>
        <w:numPr>
          <w:ilvl w:val="0"/>
          <w:numId w:val="6"/>
        </w:numPr>
        <w:spacing w:after="0"/>
        <w:rPr>
          <w:rFonts w:cs="Calibri"/>
        </w:rPr>
      </w:pPr>
      <w:r w:rsidRPr="004818B2">
        <w:rPr>
          <w:rFonts w:cs="Calibri"/>
        </w:rPr>
        <w:t>enable students to develop the research skills to find out about career opportunities;</w:t>
      </w:r>
    </w:p>
    <w:p w14:paraId="2D587A38" w14:textId="77777777" w:rsidR="0004608C" w:rsidRPr="004818B2" w:rsidRDefault="0004608C" w:rsidP="0004608C">
      <w:pPr>
        <w:pStyle w:val="ListParagraph"/>
        <w:numPr>
          <w:ilvl w:val="0"/>
          <w:numId w:val="7"/>
        </w:numPr>
        <w:spacing w:after="0"/>
        <w:rPr>
          <w:rFonts w:cs="Calibri"/>
        </w:rPr>
      </w:pPr>
      <w:r w:rsidRPr="004818B2">
        <w:rPr>
          <w:rFonts w:cs="Calibri"/>
        </w:rPr>
        <w:t>encourage participation in continued learning, challenging the young people to identify their route to a future career via, apprenticeships or further and higher education;</w:t>
      </w:r>
    </w:p>
    <w:p w14:paraId="365580AC" w14:textId="77777777" w:rsidR="0004608C" w:rsidRPr="004818B2" w:rsidRDefault="0004608C" w:rsidP="0004608C">
      <w:pPr>
        <w:pStyle w:val="ListParagraph"/>
        <w:numPr>
          <w:ilvl w:val="0"/>
          <w:numId w:val="7"/>
        </w:numPr>
        <w:spacing w:after="0"/>
        <w:rPr>
          <w:rFonts w:cs="Calibri"/>
        </w:rPr>
      </w:pPr>
      <w:r w:rsidRPr="004818B2">
        <w:rPr>
          <w:rFonts w:cs="Calibri"/>
        </w:rPr>
        <w:t>support inclusion, challenging stereotyping and promoting equality of opportunity;</w:t>
      </w:r>
    </w:p>
    <w:p w14:paraId="09362785" w14:textId="77777777" w:rsidR="0004608C" w:rsidRPr="004818B2" w:rsidRDefault="0004608C" w:rsidP="0004608C">
      <w:pPr>
        <w:pStyle w:val="ListParagraph"/>
        <w:numPr>
          <w:ilvl w:val="0"/>
          <w:numId w:val="7"/>
        </w:numPr>
        <w:spacing w:after="0"/>
        <w:rPr>
          <w:rFonts w:cs="Calibri"/>
        </w:rPr>
      </w:pPr>
      <w:r w:rsidRPr="004818B2">
        <w:rPr>
          <w:rFonts w:cs="Calibri"/>
        </w:rPr>
        <w:t>contribute to strategies for raising achievement, particularly by increasing motivation.</w:t>
      </w:r>
    </w:p>
    <w:p w14:paraId="7D96D568" w14:textId="77777777" w:rsidR="0004608C" w:rsidRPr="004818B2" w:rsidRDefault="0004608C" w:rsidP="0004608C">
      <w:pPr>
        <w:spacing w:after="0"/>
        <w:rPr>
          <w:rFonts w:cs="Calibri"/>
          <w:b/>
        </w:rPr>
      </w:pPr>
    </w:p>
    <w:p w14:paraId="1E85EA8C" w14:textId="77777777" w:rsidR="004818B2" w:rsidRPr="004818B2" w:rsidRDefault="004818B2" w:rsidP="004818B2">
      <w:pPr>
        <w:pStyle w:val="Heading1"/>
        <w:spacing w:before="0" w:line="240" w:lineRule="auto"/>
        <w:rPr>
          <w:rFonts w:cs="Calibri"/>
          <w:sz w:val="22"/>
          <w:szCs w:val="22"/>
        </w:rPr>
      </w:pPr>
      <w:r w:rsidRPr="004818B2">
        <w:rPr>
          <w:rFonts w:cs="Calibri"/>
          <w:sz w:val="22"/>
          <w:szCs w:val="22"/>
        </w:rPr>
        <w:lastRenderedPageBreak/>
        <w:t>Statutory Requirements</w:t>
      </w:r>
    </w:p>
    <w:p w14:paraId="1283C8C4" w14:textId="77777777" w:rsidR="0004608C" w:rsidRPr="004818B2" w:rsidRDefault="0004608C" w:rsidP="0004608C">
      <w:pPr>
        <w:spacing w:after="0"/>
        <w:rPr>
          <w:rFonts w:cs="Calibri"/>
        </w:rPr>
      </w:pPr>
      <w:r w:rsidRPr="004818B2">
        <w:rPr>
          <w:rFonts w:cs="Calibri"/>
        </w:rPr>
        <w:t xml:space="preserve">The careers provision at Upton Hall School is in line with the statutory guidance developed by the Department for Education which requires all schools have a legal duty to provide independent careers guidance from Years 8 -13. This guidance should: </w:t>
      </w:r>
    </w:p>
    <w:p w14:paraId="64B9BAC0" w14:textId="77777777" w:rsidR="0004608C" w:rsidRPr="004818B2" w:rsidRDefault="0004608C" w:rsidP="0004608C">
      <w:pPr>
        <w:pStyle w:val="ListParagraph"/>
        <w:numPr>
          <w:ilvl w:val="0"/>
          <w:numId w:val="7"/>
        </w:numPr>
        <w:spacing w:after="0"/>
        <w:rPr>
          <w:rFonts w:cs="Calibri"/>
        </w:rPr>
      </w:pPr>
      <w:r w:rsidRPr="004818B2">
        <w:rPr>
          <w:rFonts w:cs="Calibri"/>
        </w:rPr>
        <w:t>b</w:t>
      </w:r>
      <w:r w:rsidR="007B6461">
        <w:rPr>
          <w:rFonts w:cs="Calibri"/>
        </w:rPr>
        <w:t>e impartial, showing no bias or favouritism towards a particular institution, education or work options</w:t>
      </w:r>
    </w:p>
    <w:p w14:paraId="443E56C1" w14:textId="77777777" w:rsidR="0004608C" w:rsidRPr="004818B2" w:rsidRDefault="0004608C" w:rsidP="0004608C">
      <w:pPr>
        <w:pStyle w:val="ListParagraph"/>
        <w:numPr>
          <w:ilvl w:val="0"/>
          <w:numId w:val="7"/>
        </w:numPr>
        <w:spacing w:after="0"/>
        <w:rPr>
          <w:rFonts w:cs="Calibri"/>
        </w:rPr>
      </w:pPr>
      <w:r w:rsidRPr="004818B2">
        <w:rPr>
          <w:rFonts w:cs="Calibri"/>
        </w:rPr>
        <w:t xml:space="preserve">include information on a range of pathways or training options, including apprenticeships </w:t>
      </w:r>
      <w:r w:rsidR="007B6461">
        <w:rPr>
          <w:rFonts w:cs="Calibri"/>
        </w:rPr>
        <w:t xml:space="preserve">and </w:t>
      </w:r>
      <w:proofErr w:type="gramStart"/>
      <w:r w:rsidR="007B6461">
        <w:rPr>
          <w:rFonts w:cs="Calibri"/>
        </w:rPr>
        <w:t>technical  education</w:t>
      </w:r>
      <w:proofErr w:type="gramEnd"/>
      <w:r w:rsidR="007B6461">
        <w:rPr>
          <w:rFonts w:cs="Calibri"/>
        </w:rPr>
        <w:t xml:space="preserve"> routes</w:t>
      </w:r>
    </w:p>
    <w:p w14:paraId="2692FF62" w14:textId="77777777" w:rsidR="0004608C" w:rsidRPr="004818B2" w:rsidRDefault="007B6461" w:rsidP="0004608C">
      <w:pPr>
        <w:pStyle w:val="ListParagraph"/>
        <w:numPr>
          <w:ilvl w:val="0"/>
          <w:numId w:val="7"/>
        </w:numPr>
        <w:spacing w:after="0"/>
        <w:rPr>
          <w:rFonts w:cs="Calibri"/>
        </w:rPr>
      </w:pPr>
      <w:r>
        <w:rPr>
          <w:rFonts w:cs="Calibri"/>
        </w:rPr>
        <w:t>promote the best interest of the students to whom it is given</w:t>
      </w:r>
    </w:p>
    <w:p w14:paraId="705C2133" w14:textId="3844CC17" w:rsidR="0004608C" w:rsidRPr="008E3F17" w:rsidRDefault="0004608C" w:rsidP="0004608C">
      <w:pPr>
        <w:pStyle w:val="Heading2"/>
        <w:rPr>
          <w:rFonts w:cs="Calibri"/>
          <w:b w:val="0"/>
          <w:color w:val="auto"/>
          <w:sz w:val="22"/>
          <w:szCs w:val="22"/>
        </w:rPr>
      </w:pPr>
      <w:r w:rsidRPr="008E3F17">
        <w:rPr>
          <w:rFonts w:cs="Calibri"/>
          <w:b w:val="0"/>
          <w:color w:val="auto"/>
          <w:sz w:val="22"/>
          <w:szCs w:val="22"/>
        </w:rPr>
        <w:t>In addition, the school is compliant with the statutory careers guidance</w:t>
      </w:r>
      <w:r w:rsidRPr="008E3F17">
        <w:rPr>
          <w:rFonts w:cs="Calibri"/>
          <w:b w:val="0"/>
          <w:sz w:val="22"/>
          <w:szCs w:val="22"/>
        </w:rPr>
        <w:t xml:space="preserve"> </w:t>
      </w:r>
      <w:r w:rsidRPr="008E3F17">
        <w:rPr>
          <w:rFonts w:cs="Calibri"/>
          <w:b w:val="0"/>
          <w:color w:val="000000"/>
          <w:sz w:val="22"/>
          <w:szCs w:val="22"/>
        </w:rPr>
        <w:t>‘</w:t>
      </w:r>
      <w:hyperlink r:id="rId9" w:history="1">
        <w:r w:rsidRPr="008E3F17">
          <w:rPr>
            <w:rFonts w:cs="Calibri"/>
            <w:b w:val="0"/>
            <w:color w:val="auto"/>
            <w:sz w:val="22"/>
            <w:szCs w:val="22"/>
            <w:lang w:eastAsia="zh-CN"/>
          </w:rPr>
          <w:t>Careers guidance and access for education and training providers</w:t>
        </w:r>
      </w:hyperlink>
      <w:r w:rsidR="007B6461">
        <w:rPr>
          <w:rFonts w:cs="Calibri"/>
          <w:b w:val="0"/>
          <w:color w:val="auto"/>
          <w:sz w:val="22"/>
          <w:szCs w:val="22"/>
          <w:lang w:eastAsia="zh-CN"/>
        </w:rPr>
        <w:t xml:space="preserve">’ (DfE </w:t>
      </w:r>
      <w:r w:rsidR="00190E3E">
        <w:rPr>
          <w:rFonts w:cs="Calibri"/>
          <w:b w:val="0"/>
          <w:color w:val="auto"/>
          <w:sz w:val="22"/>
          <w:szCs w:val="22"/>
          <w:lang w:eastAsia="zh-CN"/>
        </w:rPr>
        <w:t>2023</w:t>
      </w:r>
      <w:r w:rsidRPr="008E3F17">
        <w:rPr>
          <w:rFonts w:cs="Calibri"/>
          <w:b w:val="0"/>
          <w:color w:val="auto"/>
          <w:sz w:val="22"/>
          <w:szCs w:val="22"/>
          <w:lang w:eastAsia="zh-CN"/>
        </w:rPr>
        <w:t xml:space="preserve">).  </w:t>
      </w:r>
      <w:r w:rsidRPr="008E3F17">
        <w:rPr>
          <w:rFonts w:cs="Calibri"/>
          <w:b w:val="0"/>
          <w:color w:val="auto"/>
          <w:sz w:val="22"/>
          <w:szCs w:val="22"/>
        </w:rPr>
        <w:t>This states that all schools must give education and training providers the opportunity to talk to students about approved technical qualifications and apprenticeships. Further information relating to this is available in the Provider Access Policy.</w:t>
      </w:r>
    </w:p>
    <w:p w14:paraId="19729020" w14:textId="77777777" w:rsidR="0004608C" w:rsidRPr="004818B2" w:rsidRDefault="0004608C" w:rsidP="0004608C">
      <w:r w:rsidRPr="004818B2">
        <w:t>The Careers Leader is Mrs Kate Douglas who can be contacted at kdouglas@uptonhall.org</w:t>
      </w:r>
    </w:p>
    <w:p w14:paraId="5B0FD2FF" w14:textId="77777777" w:rsidR="004818B2" w:rsidRPr="004818B2" w:rsidRDefault="004818B2" w:rsidP="004818B2">
      <w:pPr>
        <w:pStyle w:val="Heading1"/>
        <w:spacing w:before="0" w:line="240" w:lineRule="auto"/>
        <w:rPr>
          <w:rFonts w:cs="Calibri"/>
          <w:sz w:val="22"/>
          <w:szCs w:val="22"/>
        </w:rPr>
      </w:pPr>
      <w:r w:rsidRPr="004818B2">
        <w:rPr>
          <w:rFonts w:cs="Calibri"/>
          <w:sz w:val="22"/>
          <w:szCs w:val="22"/>
        </w:rPr>
        <w:t>Student Entitlement</w:t>
      </w:r>
    </w:p>
    <w:p w14:paraId="091E6365" w14:textId="77777777" w:rsidR="0004608C" w:rsidRPr="004818B2" w:rsidRDefault="0004608C" w:rsidP="0004608C">
      <w:pPr>
        <w:spacing w:after="0"/>
        <w:rPr>
          <w:rFonts w:cs="Calibri"/>
          <w:color w:val="FF0000"/>
        </w:rPr>
      </w:pPr>
      <w:r w:rsidRPr="004818B2">
        <w:rPr>
          <w:rFonts w:cs="Calibri"/>
        </w:rPr>
        <w:t xml:space="preserve">All students are entitled to be fully involved in an effective CEIAG programme. Students are encouraged to take an active role in their own career development, so the careers programme emphasises student participation with a focus on personal and social development; learning about careers and the world of work; and developing employability skills. </w:t>
      </w:r>
    </w:p>
    <w:p w14:paraId="6DD7DC9A" w14:textId="77777777" w:rsidR="0004608C" w:rsidRPr="004818B2" w:rsidRDefault="0004608C" w:rsidP="0004608C">
      <w:pPr>
        <w:spacing w:after="0"/>
        <w:rPr>
          <w:rFonts w:cs="Calibri"/>
        </w:rPr>
      </w:pPr>
    </w:p>
    <w:p w14:paraId="0D36E1A8" w14:textId="77777777" w:rsidR="0004608C" w:rsidRPr="004818B2" w:rsidRDefault="0004608C" w:rsidP="0004608C">
      <w:pPr>
        <w:spacing w:after="0"/>
        <w:rPr>
          <w:rFonts w:cs="Calibri"/>
        </w:rPr>
      </w:pPr>
      <w:r w:rsidRPr="004818B2">
        <w:rPr>
          <w:rFonts w:cs="Calibri"/>
        </w:rPr>
        <w:t>During their time at school, all students can expect:</w:t>
      </w:r>
    </w:p>
    <w:p w14:paraId="0D7B981E" w14:textId="77777777" w:rsidR="0004608C" w:rsidRPr="004818B2" w:rsidRDefault="0004608C" w:rsidP="0004608C">
      <w:pPr>
        <w:pStyle w:val="ListParagraph"/>
        <w:numPr>
          <w:ilvl w:val="0"/>
          <w:numId w:val="8"/>
        </w:numPr>
        <w:spacing w:after="0"/>
        <w:rPr>
          <w:rFonts w:cs="Calibri"/>
        </w:rPr>
      </w:pPr>
      <w:r w:rsidRPr="004818B2">
        <w:rPr>
          <w:rFonts w:cs="Calibri"/>
        </w:rPr>
        <w:t>the support they need to make the right choices for Key Stage 4 and beyond into their post-16 destination</w:t>
      </w:r>
    </w:p>
    <w:p w14:paraId="59875F35" w14:textId="77777777" w:rsidR="0004608C" w:rsidRPr="004818B2" w:rsidRDefault="0004608C" w:rsidP="0004608C">
      <w:pPr>
        <w:pStyle w:val="ListParagraph"/>
        <w:numPr>
          <w:ilvl w:val="0"/>
          <w:numId w:val="8"/>
        </w:numPr>
        <w:spacing w:after="0"/>
        <w:rPr>
          <w:rFonts w:cs="Calibri"/>
        </w:rPr>
      </w:pPr>
      <w:r w:rsidRPr="004818B2">
        <w:rPr>
          <w:rFonts w:cs="Calibri"/>
        </w:rPr>
        <w:t>access to up-to-date and unbiased information on future learning and training, careers and labour market information</w:t>
      </w:r>
    </w:p>
    <w:p w14:paraId="395C69D1" w14:textId="77777777" w:rsidR="0004608C" w:rsidRPr="004818B2" w:rsidRDefault="0004608C" w:rsidP="0004608C">
      <w:pPr>
        <w:pStyle w:val="ListParagraph"/>
        <w:numPr>
          <w:ilvl w:val="0"/>
          <w:numId w:val="8"/>
        </w:numPr>
        <w:spacing w:after="0"/>
        <w:rPr>
          <w:rFonts w:cs="Calibri"/>
        </w:rPr>
      </w:pPr>
      <w:r w:rsidRPr="004818B2">
        <w:rPr>
          <w:rFonts w:cs="Calibri"/>
        </w:rPr>
        <w:t>support to develop the self-awareness and career management skills needed for their future</w:t>
      </w:r>
    </w:p>
    <w:p w14:paraId="2954508B" w14:textId="77777777" w:rsidR="0004608C" w:rsidRPr="004818B2" w:rsidRDefault="0004608C" w:rsidP="0004608C">
      <w:pPr>
        <w:pStyle w:val="ListParagraph"/>
        <w:numPr>
          <w:ilvl w:val="0"/>
          <w:numId w:val="8"/>
        </w:numPr>
        <w:spacing w:after="0"/>
        <w:rPr>
          <w:rFonts w:cs="Calibri"/>
        </w:rPr>
      </w:pPr>
      <w:r w:rsidRPr="004818B2">
        <w:rPr>
          <w:rFonts w:cs="Calibri"/>
        </w:rPr>
        <w:t>formal careers lessons covering employability skills, post-16 options, the world of work, the job market and the skills needed for the future</w:t>
      </w:r>
    </w:p>
    <w:p w14:paraId="22A2A144" w14:textId="77777777" w:rsidR="0004608C" w:rsidRPr="004818B2" w:rsidRDefault="0004608C" w:rsidP="0004608C">
      <w:pPr>
        <w:pStyle w:val="ListParagraph"/>
        <w:numPr>
          <w:ilvl w:val="0"/>
          <w:numId w:val="8"/>
        </w:numPr>
        <w:spacing w:after="0"/>
        <w:rPr>
          <w:rFonts w:cs="Calibri"/>
        </w:rPr>
      </w:pPr>
      <w:r w:rsidRPr="004818B2">
        <w:rPr>
          <w:rFonts w:cs="Calibri"/>
        </w:rPr>
        <w:t xml:space="preserve">a meaningful encounter with a representative from the world of work each school year; this could be through work experience, Careers Week activities, assemblies, careers </w:t>
      </w:r>
      <w:proofErr w:type="gramStart"/>
      <w:r w:rsidRPr="004818B2">
        <w:rPr>
          <w:rFonts w:cs="Calibri"/>
        </w:rPr>
        <w:t>talks</w:t>
      </w:r>
      <w:proofErr w:type="gramEnd"/>
      <w:r w:rsidRPr="004818B2">
        <w:rPr>
          <w:rFonts w:cs="Calibri"/>
        </w:rPr>
        <w:t xml:space="preserve"> (in or outside lessons), projects and visits </w:t>
      </w:r>
    </w:p>
    <w:p w14:paraId="54116D17" w14:textId="52A52F06" w:rsidR="0004608C" w:rsidRPr="004818B2" w:rsidRDefault="0004608C" w:rsidP="0004608C">
      <w:pPr>
        <w:pStyle w:val="ListParagraph"/>
        <w:numPr>
          <w:ilvl w:val="0"/>
          <w:numId w:val="8"/>
        </w:numPr>
        <w:spacing w:after="0"/>
        <w:rPr>
          <w:rFonts w:cs="Calibri"/>
        </w:rPr>
      </w:pPr>
      <w:r w:rsidRPr="004818B2">
        <w:rPr>
          <w:rFonts w:cs="Calibri"/>
        </w:rPr>
        <w:t>to hear from a range of education and training providers, including colleges, universities and apprenticeship organisations</w:t>
      </w:r>
      <w:r w:rsidR="00190E3E">
        <w:rPr>
          <w:rFonts w:cs="Calibri"/>
        </w:rPr>
        <w:t xml:space="preserve"> (six provider encounters required as statutory)</w:t>
      </w:r>
      <w:r w:rsidRPr="004818B2">
        <w:rPr>
          <w:rFonts w:cs="Calibri"/>
        </w:rPr>
        <w:t>; this could include visits and taster days, as well as assemblies, talks and meetings at school</w:t>
      </w:r>
      <w:r w:rsidR="00190E3E">
        <w:rPr>
          <w:rFonts w:cs="Calibri"/>
        </w:rPr>
        <w:t>.</w:t>
      </w:r>
    </w:p>
    <w:p w14:paraId="3B92FED2" w14:textId="77777777" w:rsidR="0004608C" w:rsidRPr="004818B2" w:rsidRDefault="0004608C" w:rsidP="0004608C">
      <w:pPr>
        <w:pStyle w:val="ListParagraph"/>
        <w:numPr>
          <w:ilvl w:val="0"/>
          <w:numId w:val="8"/>
        </w:numPr>
        <w:spacing w:after="0"/>
        <w:rPr>
          <w:rFonts w:cs="Calibri"/>
        </w:rPr>
      </w:pPr>
      <w:r w:rsidRPr="004818B2">
        <w:rPr>
          <w:rFonts w:cs="Calibri"/>
        </w:rPr>
        <w:t>the opportunity to relate what they learn in lessons to their life and career beyond school</w:t>
      </w:r>
    </w:p>
    <w:p w14:paraId="1146949C" w14:textId="77777777" w:rsidR="0004608C" w:rsidRPr="004818B2" w:rsidRDefault="0004608C" w:rsidP="0004608C">
      <w:pPr>
        <w:pStyle w:val="ListParagraph"/>
        <w:numPr>
          <w:ilvl w:val="0"/>
          <w:numId w:val="8"/>
        </w:numPr>
        <w:spacing w:after="0"/>
        <w:rPr>
          <w:rFonts w:cs="Calibri"/>
        </w:rPr>
      </w:pPr>
      <w:r w:rsidRPr="004818B2">
        <w:rPr>
          <w:rFonts w:cs="Calibri"/>
        </w:rPr>
        <w:t xml:space="preserve">the opportunity to talk through their career and educational choices with staff </w:t>
      </w:r>
    </w:p>
    <w:p w14:paraId="5BBFE1BD" w14:textId="77777777" w:rsidR="0004608C" w:rsidRPr="004818B2" w:rsidRDefault="0004608C" w:rsidP="0004608C">
      <w:pPr>
        <w:pStyle w:val="ListParagraph"/>
        <w:numPr>
          <w:ilvl w:val="0"/>
          <w:numId w:val="8"/>
        </w:numPr>
        <w:spacing w:after="0"/>
        <w:rPr>
          <w:rFonts w:cs="Calibri"/>
        </w:rPr>
      </w:pPr>
      <w:r w:rsidRPr="004818B2">
        <w:rPr>
          <w:rFonts w:cs="Calibri"/>
        </w:rPr>
        <w:t xml:space="preserve">access to one-to-one guidance with the </w:t>
      </w:r>
      <w:proofErr w:type="gramStart"/>
      <w:r w:rsidRPr="004818B2">
        <w:rPr>
          <w:rFonts w:cs="Calibri"/>
        </w:rPr>
        <w:t>careers</w:t>
      </w:r>
      <w:proofErr w:type="gramEnd"/>
      <w:r w:rsidRPr="004818B2">
        <w:rPr>
          <w:rFonts w:cs="Calibri"/>
        </w:rPr>
        <w:t xml:space="preserve"> adviser to pupils in all year groups on a drop in basis, to selected pupils in Yr9 and Yr10 and all pupils in Year 11 by appointment and on a staff referral or self-referral basis for students in Yr12 and Yr13.</w:t>
      </w:r>
    </w:p>
    <w:p w14:paraId="279842B7" w14:textId="77777777" w:rsidR="0004608C" w:rsidRPr="004818B2" w:rsidRDefault="0004608C" w:rsidP="0004608C">
      <w:pPr>
        <w:pStyle w:val="ListParagraph"/>
        <w:numPr>
          <w:ilvl w:val="0"/>
          <w:numId w:val="8"/>
        </w:numPr>
        <w:spacing w:after="0"/>
        <w:rPr>
          <w:rFonts w:cs="Calibri"/>
        </w:rPr>
      </w:pPr>
      <w:r w:rsidRPr="004818B2">
        <w:rPr>
          <w:rFonts w:cs="Calibri"/>
        </w:rPr>
        <w:t>the school to keep parents/carers informed of their progress and provide parents/carers with information to support students’ career planning and decision-making</w:t>
      </w:r>
    </w:p>
    <w:p w14:paraId="17443E60" w14:textId="77777777" w:rsidR="0004608C" w:rsidRPr="004818B2" w:rsidRDefault="0004608C" w:rsidP="0004608C">
      <w:pPr>
        <w:pStyle w:val="ListParagraph"/>
        <w:numPr>
          <w:ilvl w:val="0"/>
          <w:numId w:val="8"/>
        </w:numPr>
        <w:spacing w:after="0"/>
        <w:rPr>
          <w:rFonts w:cs="Calibri"/>
          <w:b/>
        </w:rPr>
      </w:pPr>
      <w:r w:rsidRPr="004818B2">
        <w:rPr>
          <w:rFonts w:cs="Calibri"/>
        </w:rPr>
        <w:t>to be asked their views about the service they</w:t>
      </w:r>
      <w:r w:rsidRPr="004818B2">
        <w:rPr>
          <w:rFonts w:cs="Calibri"/>
          <w:b/>
        </w:rPr>
        <w:t xml:space="preserve"> </w:t>
      </w:r>
      <w:r w:rsidRPr="004818B2">
        <w:rPr>
          <w:rFonts w:cs="Calibri"/>
        </w:rPr>
        <w:t>have received to ensure that the service continues to meet the needs of the students.</w:t>
      </w:r>
    </w:p>
    <w:p w14:paraId="30199ED3" w14:textId="77777777" w:rsidR="00685411" w:rsidRPr="004818B2" w:rsidRDefault="00685411" w:rsidP="004818B2">
      <w:pPr>
        <w:pStyle w:val="ListParagraph"/>
        <w:spacing w:after="0"/>
        <w:rPr>
          <w:rFonts w:cs="Calibri"/>
          <w:b/>
        </w:rPr>
      </w:pPr>
    </w:p>
    <w:p w14:paraId="61EED619" w14:textId="77777777" w:rsidR="004818B2" w:rsidRPr="004818B2" w:rsidRDefault="004818B2" w:rsidP="004818B2">
      <w:pPr>
        <w:pStyle w:val="Heading1"/>
        <w:spacing w:before="0" w:line="240" w:lineRule="auto"/>
        <w:rPr>
          <w:rFonts w:cs="Calibri"/>
          <w:sz w:val="22"/>
          <w:szCs w:val="22"/>
        </w:rPr>
      </w:pPr>
      <w:r w:rsidRPr="004818B2">
        <w:rPr>
          <w:rFonts w:cs="Calibri"/>
          <w:sz w:val="22"/>
          <w:szCs w:val="22"/>
        </w:rPr>
        <w:t>Parental involvement</w:t>
      </w:r>
    </w:p>
    <w:p w14:paraId="229867EF" w14:textId="77777777" w:rsidR="0004608C" w:rsidRPr="004818B2" w:rsidRDefault="0004608C" w:rsidP="0004608C">
      <w:pPr>
        <w:spacing w:after="0"/>
        <w:rPr>
          <w:rFonts w:cs="Calibri"/>
        </w:rPr>
      </w:pPr>
      <w:r w:rsidRPr="004818B2">
        <w:rPr>
          <w:rFonts w:cs="Calibri"/>
        </w:rPr>
        <w:t>Young people do not make career decisions in isolation and parents/carers can have a substantial impact, as well as a clear interest in the right outcomes for their young person. The school is keen to foster parental involvement in the careers programme, wherever possible.</w:t>
      </w:r>
    </w:p>
    <w:p w14:paraId="4BD7F00D" w14:textId="77777777" w:rsidR="0004608C" w:rsidRPr="004818B2" w:rsidRDefault="0004608C" w:rsidP="0004608C">
      <w:pPr>
        <w:spacing w:after="0"/>
        <w:rPr>
          <w:rFonts w:cs="Calibri"/>
        </w:rPr>
      </w:pPr>
    </w:p>
    <w:p w14:paraId="3620ED5A" w14:textId="77777777" w:rsidR="0004608C" w:rsidRPr="004818B2" w:rsidRDefault="0004608C" w:rsidP="0004608C">
      <w:pPr>
        <w:spacing w:after="0"/>
        <w:rPr>
          <w:rFonts w:cs="Calibri"/>
        </w:rPr>
      </w:pPr>
      <w:r w:rsidRPr="004818B2">
        <w:rPr>
          <w:rFonts w:cs="Calibri"/>
        </w:rPr>
        <w:t xml:space="preserve">Parents are kept up to date with career-related events and activities through the Parent </w:t>
      </w:r>
    </w:p>
    <w:p w14:paraId="283E6C3D" w14:textId="33885F11" w:rsidR="0004608C" w:rsidRPr="004818B2" w:rsidRDefault="0004608C" w:rsidP="0004608C">
      <w:pPr>
        <w:spacing w:after="0"/>
        <w:rPr>
          <w:rFonts w:cs="Calibri"/>
        </w:rPr>
      </w:pPr>
      <w:r w:rsidRPr="004818B2">
        <w:rPr>
          <w:rFonts w:cs="Calibri"/>
        </w:rPr>
        <w:lastRenderedPageBreak/>
        <w:t xml:space="preserve">Information Evenings, the curriculum booklets and the school newsletter. Parents will be encouraged to make contact with Mrs Douglas should they have any questions or concerns.  </w:t>
      </w:r>
    </w:p>
    <w:p w14:paraId="7DCB3221" w14:textId="77777777" w:rsidR="0004608C" w:rsidRPr="004818B2" w:rsidRDefault="0004608C" w:rsidP="0004608C">
      <w:pPr>
        <w:spacing w:after="0"/>
        <w:rPr>
          <w:rFonts w:cs="Calibri"/>
          <w:b/>
          <w:color w:val="7030A0"/>
        </w:rPr>
      </w:pPr>
    </w:p>
    <w:p w14:paraId="774F113F" w14:textId="77777777" w:rsidR="004818B2" w:rsidRPr="004818B2" w:rsidRDefault="004818B2" w:rsidP="004818B2">
      <w:pPr>
        <w:pStyle w:val="Heading1"/>
        <w:spacing w:before="0" w:line="240" w:lineRule="auto"/>
        <w:rPr>
          <w:rFonts w:cs="Calibri"/>
          <w:sz w:val="22"/>
          <w:szCs w:val="22"/>
        </w:rPr>
      </w:pPr>
      <w:r>
        <w:rPr>
          <w:rFonts w:cs="Calibri"/>
          <w:sz w:val="22"/>
          <w:szCs w:val="22"/>
        </w:rPr>
        <w:t>Equal Opportunities</w:t>
      </w:r>
    </w:p>
    <w:p w14:paraId="2F55A86E" w14:textId="77777777" w:rsidR="0004608C" w:rsidRPr="004818B2" w:rsidRDefault="0004608C" w:rsidP="0004608C">
      <w:pPr>
        <w:spacing w:after="0"/>
        <w:rPr>
          <w:rFonts w:cs="Calibri"/>
        </w:rPr>
      </w:pPr>
      <w:r w:rsidRPr="004818B2">
        <w:rPr>
          <w:rFonts w:cs="Calibri"/>
        </w:rPr>
        <w:t>The school is keen to promote equal opportunities, challenge stereotypes and address limiting beliefs. All students can access advice and guidance tailored to their needs with support to explore options that suit their preferences, skills and strengths. All members of staff work to facilitate early identification of students requiring additional support, with no limit placed on how many times a student might see the careers adviser. Where appropriate the careers adviser will work with the SEND Coordinator to support Education, Health and Care planning which supports pupils who may be facing other challenges.</w:t>
      </w:r>
    </w:p>
    <w:p w14:paraId="042B5842" w14:textId="77777777" w:rsidR="0004608C" w:rsidRPr="004818B2" w:rsidRDefault="0004608C" w:rsidP="0004608C">
      <w:pPr>
        <w:spacing w:after="0"/>
        <w:rPr>
          <w:rFonts w:cs="Calibri"/>
          <w:b/>
        </w:rPr>
      </w:pPr>
    </w:p>
    <w:p w14:paraId="0DE59CB8" w14:textId="77777777" w:rsidR="004818B2" w:rsidRPr="004818B2" w:rsidRDefault="004818B2" w:rsidP="004818B2">
      <w:pPr>
        <w:pStyle w:val="Heading1"/>
        <w:spacing w:before="0" w:line="240" w:lineRule="auto"/>
        <w:rPr>
          <w:rFonts w:cs="Calibri"/>
          <w:sz w:val="22"/>
          <w:szCs w:val="22"/>
        </w:rPr>
      </w:pPr>
      <w:r>
        <w:rPr>
          <w:rFonts w:cs="Calibri"/>
          <w:sz w:val="22"/>
          <w:szCs w:val="22"/>
        </w:rPr>
        <w:t>Monitoring and evaluation</w:t>
      </w:r>
    </w:p>
    <w:p w14:paraId="3CB9EFEC" w14:textId="77777777" w:rsidR="0004608C" w:rsidRPr="004818B2" w:rsidRDefault="0004608C" w:rsidP="0004608C">
      <w:pPr>
        <w:spacing w:after="0"/>
        <w:rPr>
          <w:rFonts w:cs="Calibri"/>
        </w:rPr>
      </w:pPr>
      <w:r w:rsidRPr="004818B2">
        <w:rPr>
          <w:rFonts w:cs="Calibri"/>
        </w:rPr>
        <w:t>The careers programme is monitored by the Careers Leader and the Curriculum Deputy.  When monitoring the success of the careers programme, the school considers formal and informal measures, qualitative and quantitative data and hard and soft outcomes for students.</w:t>
      </w:r>
    </w:p>
    <w:p w14:paraId="44360999" w14:textId="77777777" w:rsidR="0004608C" w:rsidRPr="004818B2" w:rsidRDefault="0004608C" w:rsidP="0004608C">
      <w:pPr>
        <w:spacing w:after="0"/>
        <w:rPr>
          <w:rFonts w:cs="Calibri"/>
        </w:rPr>
      </w:pPr>
      <w:r w:rsidRPr="004818B2">
        <w:rPr>
          <w:rFonts w:cs="Calibri"/>
        </w:rPr>
        <w:t>The provision is monitored through a range of processes including:</w:t>
      </w:r>
    </w:p>
    <w:p w14:paraId="681B1CC1" w14:textId="77777777" w:rsidR="0004608C" w:rsidRPr="004818B2" w:rsidRDefault="0004608C" w:rsidP="0004608C">
      <w:pPr>
        <w:pStyle w:val="ListParagraph"/>
        <w:numPr>
          <w:ilvl w:val="0"/>
          <w:numId w:val="9"/>
        </w:numPr>
        <w:spacing w:after="0"/>
        <w:rPr>
          <w:rFonts w:cs="Calibri"/>
        </w:rPr>
      </w:pPr>
      <w:r w:rsidRPr="004818B2">
        <w:rPr>
          <w:rFonts w:cs="Calibri"/>
        </w:rPr>
        <w:t>the Careers and Enterprise Compass Tool to assess provision against the Gatsby benchmarks.  This allows us to quickly and easily assess our strengths and find areas for improvement.</w:t>
      </w:r>
    </w:p>
    <w:p w14:paraId="732B00B6" w14:textId="77777777" w:rsidR="0004608C" w:rsidRPr="004818B2" w:rsidRDefault="0004608C" w:rsidP="0004608C">
      <w:pPr>
        <w:pStyle w:val="ListParagraph"/>
        <w:numPr>
          <w:ilvl w:val="0"/>
          <w:numId w:val="9"/>
        </w:numPr>
        <w:spacing w:after="0"/>
        <w:rPr>
          <w:rFonts w:cs="Calibri"/>
        </w:rPr>
      </w:pPr>
      <w:r w:rsidRPr="004818B2">
        <w:rPr>
          <w:rFonts w:cs="Calibri"/>
        </w:rPr>
        <w:t>the Careers Development plan</w:t>
      </w:r>
    </w:p>
    <w:p w14:paraId="53C735D6" w14:textId="77777777" w:rsidR="0004608C" w:rsidRPr="004818B2" w:rsidRDefault="0004608C" w:rsidP="0004608C">
      <w:pPr>
        <w:pStyle w:val="ListParagraph"/>
        <w:numPr>
          <w:ilvl w:val="0"/>
          <w:numId w:val="9"/>
        </w:numPr>
        <w:spacing w:after="0"/>
        <w:rPr>
          <w:rFonts w:cs="Calibri"/>
        </w:rPr>
      </w:pPr>
      <w:r w:rsidRPr="004818B2">
        <w:rPr>
          <w:rFonts w:cs="Calibri"/>
        </w:rPr>
        <w:t>student feedback on their experience of the careers programme and what they gained from it</w:t>
      </w:r>
    </w:p>
    <w:p w14:paraId="1C6925FD" w14:textId="77777777" w:rsidR="0004608C" w:rsidRPr="004818B2" w:rsidRDefault="0004608C" w:rsidP="0004608C">
      <w:pPr>
        <w:pStyle w:val="ListParagraph"/>
        <w:numPr>
          <w:ilvl w:val="0"/>
          <w:numId w:val="8"/>
        </w:numPr>
        <w:spacing w:after="0"/>
        <w:rPr>
          <w:rFonts w:cs="Calibri"/>
        </w:rPr>
      </w:pPr>
      <w:r w:rsidRPr="004818B2">
        <w:rPr>
          <w:rFonts w:cs="Calibri"/>
        </w:rPr>
        <w:t>staff feedback on careers sessions</w:t>
      </w:r>
    </w:p>
    <w:p w14:paraId="08E32D2F" w14:textId="77777777" w:rsidR="0004608C" w:rsidRPr="004818B2" w:rsidRDefault="0004608C" w:rsidP="0004608C">
      <w:pPr>
        <w:pStyle w:val="ListParagraph"/>
        <w:numPr>
          <w:ilvl w:val="0"/>
          <w:numId w:val="8"/>
        </w:numPr>
        <w:spacing w:after="0"/>
        <w:rPr>
          <w:rFonts w:cs="Calibri"/>
        </w:rPr>
      </w:pPr>
      <w:r w:rsidRPr="004818B2">
        <w:rPr>
          <w:rFonts w:cs="Calibri"/>
        </w:rPr>
        <w:t>gathering informal feedback from external partners and from parents</w:t>
      </w:r>
    </w:p>
    <w:p w14:paraId="0E49287D" w14:textId="77777777" w:rsidR="0004608C" w:rsidRPr="004818B2" w:rsidRDefault="0004608C" w:rsidP="0004608C">
      <w:pPr>
        <w:pStyle w:val="ListParagraph"/>
        <w:numPr>
          <w:ilvl w:val="0"/>
          <w:numId w:val="8"/>
        </w:numPr>
        <w:spacing w:after="0"/>
        <w:rPr>
          <w:rFonts w:cs="Calibri"/>
        </w:rPr>
      </w:pPr>
      <w:r w:rsidRPr="004818B2">
        <w:rPr>
          <w:rFonts w:cs="Calibri"/>
        </w:rPr>
        <w:t>quality assurance of careers input</w:t>
      </w:r>
    </w:p>
    <w:p w14:paraId="27A2F0AB" w14:textId="77777777" w:rsidR="0004608C" w:rsidRPr="004818B2" w:rsidRDefault="0004608C" w:rsidP="0004608C">
      <w:pPr>
        <w:pStyle w:val="ListParagraph"/>
        <w:numPr>
          <w:ilvl w:val="0"/>
          <w:numId w:val="8"/>
        </w:numPr>
        <w:spacing w:after="0"/>
        <w:rPr>
          <w:rFonts w:cs="Calibri"/>
        </w:rPr>
      </w:pPr>
      <w:r w:rsidRPr="004818B2">
        <w:rPr>
          <w:rFonts w:cs="Calibri"/>
        </w:rPr>
        <w:t>student destination figures post-16 and post-18</w:t>
      </w:r>
    </w:p>
    <w:p w14:paraId="30F79EDF" w14:textId="77777777" w:rsidR="0004608C" w:rsidRDefault="00C800DF" w:rsidP="0004608C">
      <w:pPr>
        <w:spacing w:after="0"/>
        <w:rPr>
          <w:rFonts w:cs="Calibri"/>
        </w:rPr>
      </w:pPr>
      <w:r>
        <w:rPr>
          <w:rFonts w:cs="Calibri"/>
        </w:rPr>
        <w:t xml:space="preserve">The policy will next be reviewed in </w:t>
      </w:r>
      <w:r w:rsidR="00893CE0">
        <w:rPr>
          <w:rFonts w:cs="Calibri"/>
        </w:rPr>
        <w:t>February 2023.</w:t>
      </w:r>
    </w:p>
    <w:p w14:paraId="2696A72E" w14:textId="77777777" w:rsidR="00C800DF" w:rsidRPr="004818B2" w:rsidRDefault="00C800DF" w:rsidP="0004608C">
      <w:pPr>
        <w:spacing w:after="0"/>
        <w:rPr>
          <w:rFonts w:cs="Calibri"/>
        </w:rPr>
      </w:pPr>
    </w:p>
    <w:p w14:paraId="7C986533" w14:textId="77777777" w:rsidR="004818B2" w:rsidRPr="004818B2" w:rsidRDefault="004818B2" w:rsidP="004818B2">
      <w:pPr>
        <w:pStyle w:val="Heading1"/>
        <w:spacing w:before="0" w:line="240" w:lineRule="auto"/>
        <w:rPr>
          <w:rFonts w:cs="Calibri"/>
          <w:sz w:val="22"/>
          <w:szCs w:val="22"/>
        </w:rPr>
      </w:pPr>
      <w:r>
        <w:rPr>
          <w:rFonts w:cs="Calibri"/>
          <w:sz w:val="22"/>
          <w:szCs w:val="22"/>
        </w:rPr>
        <w:t>Delivery of the programme</w:t>
      </w:r>
    </w:p>
    <w:p w14:paraId="7D6F5F64" w14:textId="77777777" w:rsidR="0004608C" w:rsidRPr="004818B2" w:rsidRDefault="0004608C" w:rsidP="0004608C">
      <w:pPr>
        <w:spacing w:after="0"/>
        <w:rPr>
          <w:rFonts w:cs="Calibri"/>
          <w:color w:val="7030A0"/>
        </w:rPr>
      </w:pPr>
    </w:p>
    <w:p w14:paraId="34AB87EC" w14:textId="77777777" w:rsidR="0004608C" w:rsidRPr="004818B2" w:rsidRDefault="0004608C" w:rsidP="0004608C">
      <w:pPr>
        <w:spacing w:after="0"/>
        <w:rPr>
          <w:rFonts w:cs="Calibri"/>
        </w:rPr>
      </w:pPr>
      <w:r w:rsidRPr="004818B2">
        <w:rPr>
          <w:rFonts w:cs="Calibri"/>
        </w:rPr>
        <w:t>Please refer to the Careers and Employability Strategy and also the Careers Programme</w:t>
      </w:r>
    </w:p>
    <w:p w14:paraId="338A47AB" w14:textId="77777777" w:rsidR="0004608C" w:rsidRPr="004818B2" w:rsidRDefault="0004608C" w:rsidP="0004608C">
      <w:pPr>
        <w:spacing w:after="0"/>
        <w:rPr>
          <w:rFonts w:cs="Calibri"/>
          <w:b/>
        </w:rPr>
      </w:pPr>
    </w:p>
    <w:p w14:paraId="5AEC4A47" w14:textId="77777777" w:rsidR="004818B2" w:rsidRPr="004818B2" w:rsidRDefault="004818B2" w:rsidP="004818B2">
      <w:pPr>
        <w:pStyle w:val="Heading1"/>
        <w:spacing w:before="0" w:line="240" w:lineRule="auto"/>
        <w:rPr>
          <w:rFonts w:cs="Calibri"/>
          <w:sz w:val="22"/>
          <w:szCs w:val="22"/>
        </w:rPr>
      </w:pPr>
      <w:r>
        <w:rPr>
          <w:rFonts w:cs="Calibri"/>
          <w:sz w:val="22"/>
          <w:szCs w:val="22"/>
        </w:rPr>
        <w:t>Reference</w:t>
      </w:r>
      <w:r w:rsidR="008E3F17">
        <w:rPr>
          <w:rFonts w:cs="Calibri"/>
          <w:sz w:val="22"/>
          <w:szCs w:val="22"/>
        </w:rPr>
        <w:t>s</w:t>
      </w:r>
    </w:p>
    <w:p w14:paraId="35EA79DC" w14:textId="77777777" w:rsidR="0004608C" w:rsidRPr="004818B2" w:rsidRDefault="0004608C" w:rsidP="0004608C">
      <w:pPr>
        <w:spacing w:after="0"/>
        <w:rPr>
          <w:rFonts w:cs="Calibri"/>
          <w:b/>
        </w:rPr>
      </w:pPr>
    </w:p>
    <w:p w14:paraId="7F51AE41" w14:textId="77777777" w:rsidR="0004608C" w:rsidRPr="004818B2" w:rsidRDefault="0004608C" w:rsidP="0004608C">
      <w:pPr>
        <w:spacing w:after="0"/>
        <w:rPr>
          <w:rFonts w:cs="Calibri"/>
        </w:rPr>
      </w:pPr>
      <w:r w:rsidRPr="004818B2">
        <w:rPr>
          <w:rFonts w:cs="Calibri"/>
        </w:rPr>
        <w:t xml:space="preserve"> This policy should be read in conjunction with </w:t>
      </w:r>
    </w:p>
    <w:p w14:paraId="7B9702CC" w14:textId="77777777" w:rsidR="0004608C" w:rsidRPr="004818B2" w:rsidRDefault="0004608C" w:rsidP="0004608C">
      <w:pPr>
        <w:pStyle w:val="ListParagraph"/>
        <w:numPr>
          <w:ilvl w:val="0"/>
          <w:numId w:val="10"/>
        </w:numPr>
        <w:spacing w:after="0"/>
        <w:rPr>
          <w:rFonts w:cs="Calibri"/>
        </w:rPr>
      </w:pPr>
      <w:r w:rsidRPr="004818B2">
        <w:rPr>
          <w:rFonts w:cs="Calibri"/>
        </w:rPr>
        <w:t>the Curriculum policy</w:t>
      </w:r>
    </w:p>
    <w:p w14:paraId="6B5350CE" w14:textId="77777777" w:rsidR="0004608C" w:rsidRPr="004818B2" w:rsidRDefault="0004608C" w:rsidP="0004608C">
      <w:pPr>
        <w:pStyle w:val="ListParagraph"/>
        <w:numPr>
          <w:ilvl w:val="0"/>
          <w:numId w:val="10"/>
        </w:numPr>
        <w:spacing w:after="0"/>
        <w:rPr>
          <w:rFonts w:cs="Calibri"/>
        </w:rPr>
      </w:pPr>
      <w:r w:rsidRPr="004818B2">
        <w:rPr>
          <w:rFonts w:cs="Calibri"/>
        </w:rPr>
        <w:t>the SEND policy and Information report</w:t>
      </w:r>
    </w:p>
    <w:p w14:paraId="764FE30C" w14:textId="77777777" w:rsidR="0004608C" w:rsidRDefault="0004608C" w:rsidP="0004608C">
      <w:pPr>
        <w:pStyle w:val="ListParagraph"/>
        <w:numPr>
          <w:ilvl w:val="0"/>
          <w:numId w:val="10"/>
        </w:numPr>
        <w:spacing w:after="0"/>
        <w:rPr>
          <w:rFonts w:cs="Calibri"/>
        </w:rPr>
      </w:pPr>
      <w:r w:rsidRPr="004818B2">
        <w:rPr>
          <w:rFonts w:cs="Calibri"/>
        </w:rPr>
        <w:t>the Careers programme</w:t>
      </w:r>
    </w:p>
    <w:p w14:paraId="71C63912" w14:textId="77777777" w:rsidR="00C800DF" w:rsidRPr="004818B2" w:rsidRDefault="00C800DF" w:rsidP="0004608C">
      <w:pPr>
        <w:pStyle w:val="ListParagraph"/>
        <w:numPr>
          <w:ilvl w:val="0"/>
          <w:numId w:val="10"/>
        </w:numPr>
        <w:spacing w:after="0"/>
        <w:rPr>
          <w:rFonts w:cs="Calibri"/>
        </w:rPr>
      </w:pPr>
      <w:r>
        <w:rPr>
          <w:rFonts w:cs="Calibri"/>
        </w:rPr>
        <w:t>the Careers and Employability Strategy</w:t>
      </w:r>
    </w:p>
    <w:p w14:paraId="5C884F2A" w14:textId="77777777" w:rsidR="0004608C" w:rsidRPr="004818B2" w:rsidRDefault="0004608C" w:rsidP="0004608C">
      <w:pPr>
        <w:pStyle w:val="ListParagraph"/>
        <w:numPr>
          <w:ilvl w:val="0"/>
          <w:numId w:val="10"/>
        </w:numPr>
        <w:spacing w:after="0"/>
        <w:rPr>
          <w:rFonts w:cs="Calibri"/>
        </w:rPr>
      </w:pPr>
      <w:r w:rsidRPr="004818B2">
        <w:rPr>
          <w:rFonts w:cs="Calibri"/>
        </w:rPr>
        <w:t>the Provider Access programme</w:t>
      </w:r>
    </w:p>
    <w:p w14:paraId="7451E030" w14:textId="77777777" w:rsidR="0004608C" w:rsidRPr="004818B2" w:rsidRDefault="0004608C" w:rsidP="0004608C">
      <w:pPr>
        <w:pStyle w:val="ListParagraph"/>
        <w:spacing w:after="0"/>
        <w:rPr>
          <w:rFonts w:cs="Calibri"/>
        </w:rPr>
      </w:pPr>
    </w:p>
    <w:p w14:paraId="04127ACA" w14:textId="77777777" w:rsidR="0004608C" w:rsidRPr="004818B2" w:rsidRDefault="0004608C" w:rsidP="0004608C">
      <w:pPr>
        <w:spacing w:after="0"/>
        <w:rPr>
          <w:rFonts w:cs="Calibri"/>
          <w:b/>
        </w:rPr>
      </w:pPr>
    </w:p>
    <w:p w14:paraId="53FD59D8" w14:textId="77777777" w:rsidR="0004608C" w:rsidRPr="004818B2" w:rsidRDefault="0004608C" w:rsidP="0004608C">
      <w:pPr>
        <w:spacing w:after="0"/>
        <w:rPr>
          <w:rFonts w:cs="Calibri"/>
          <w:b/>
        </w:rPr>
      </w:pPr>
    </w:p>
    <w:p w14:paraId="396C91BB" w14:textId="77777777" w:rsidR="0004608C" w:rsidRPr="004818B2" w:rsidRDefault="0004608C" w:rsidP="0004608C">
      <w:pPr>
        <w:rPr>
          <w:rFonts w:cs="Calibri"/>
          <w:b/>
        </w:rPr>
      </w:pPr>
      <w:r w:rsidRPr="004818B2">
        <w:rPr>
          <w:rFonts w:cs="Calibri"/>
          <w:b/>
        </w:rPr>
        <w:br w:type="page"/>
      </w:r>
    </w:p>
    <w:p w14:paraId="151F79BE" w14:textId="77777777" w:rsidR="0004608C" w:rsidRPr="004818B2" w:rsidRDefault="0004608C" w:rsidP="0004608C">
      <w:pPr>
        <w:spacing w:after="0"/>
        <w:rPr>
          <w:rFonts w:cs="Calibri"/>
          <w:b/>
        </w:rPr>
      </w:pPr>
    </w:p>
    <w:sectPr w:rsidR="0004608C" w:rsidRPr="004818B2" w:rsidSect="004F459A">
      <w:footerReference w:type="even" r:id="rId10"/>
      <w:footerReference w:type="default" r:id="rId11"/>
      <w:pgSz w:w="11906" w:h="16838"/>
      <w:pgMar w:top="720" w:right="720" w:bottom="720" w:left="720" w:header="709" w:footer="11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0CB57E" w14:textId="77777777" w:rsidR="001E2160" w:rsidRDefault="001E2160" w:rsidP="00A72B87">
      <w:pPr>
        <w:spacing w:after="0" w:line="240" w:lineRule="auto"/>
      </w:pPr>
      <w:r>
        <w:separator/>
      </w:r>
    </w:p>
  </w:endnote>
  <w:endnote w:type="continuationSeparator" w:id="0">
    <w:p w14:paraId="18850435" w14:textId="77777777" w:rsidR="001E2160" w:rsidRDefault="001E2160" w:rsidP="00A72B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A7F1B" w14:textId="77777777" w:rsidR="00E80E94" w:rsidRDefault="00E80E94">
    <w:pPr>
      <w:pStyle w:val="Footer"/>
      <w:jc w:val="center"/>
    </w:pPr>
    <w:r>
      <w:fldChar w:fldCharType="begin"/>
    </w:r>
    <w:r>
      <w:instrText xml:space="preserve"> PAGE   \* MERGEFORMAT </w:instrText>
    </w:r>
    <w:r>
      <w:fldChar w:fldCharType="separate"/>
    </w:r>
    <w:r>
      <w:rPr>
        <w:noProof/>
      </w:rPr>
      <w:t>6</w:t>
    </w:r>
    <w:r>
      <w:fldChar w:fldCharType="end"/>
    </w:r>
  </w:p>
  <w:p w14:paraId="200B23B3" w14:textId="77777777" w:rsidR="00E80E94" w:rsidRDefault="00E80E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637BD" w14:textId="77777777" w:rsidR="00E80E94" w:rsidRDefault="00E80E94">
    <w:pPr>
      <w:pStyle w:val="Footer"/>
      <w:jc w:val="center"/>
    </w:pPr>
    <w:r>
      <w:fldChar w:fldCharType="begin"/>
    </w:r>
    <w:r>
      <w:instrText xml:space="preserve"> PAGE   \* MERGEFORMAT </w:instrText>
    </w:r>
    <w:r>
      <w:fldChar w:fldCharType="separate"/>
    </w:r>
    <w:r w:rsidR="000715E4">
      <w:rPr>
        <w:noProof/>
      </w:rPr>
      <w:t>4</w:t>
    </w:r>
    <w:r>
      <w:fldChar w:fldCharType="end"/>
    </w:r>
  </w:p>
  <w:p w14:paraId="2495300B" w14:textId="77777777" w:rsidR="00E80E94" w:rsidRDefault="00E80E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97EC54" w14:textId="77777777" w:rsidR="001E2160" w:rsidRDefault="001E2160" w:rsidP="00A72B87">
      <w:pPr>
        <w:spacing w:after="0" w:line="240" w:lineRule="auto"/>
      </w:pPr>
      <w:r>
        <w:separator/>
      </w:r>
    </w:p>
  </w:footnote>
  <w:footnote w:type="continuationSeparator" w:id="0">
    <w:p w14:paraId="655F2F7E" w14:textId="77777777" w:rsidR="001E2160" w:rsidRDefault="001E2160" w:rsidP="00A72B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6F40180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25pt;height:332.25pt" o:bullet="t">
        <v:imagedata r:id="rId1" o:title="TK_LOGO_POINTER_RGB_bullet_blue"/>
      </v:shape>
    </w:pict>
  </w:numPicBullet>
  <w:abstractNum w:abstractNumId="0" w15:restartNumberingAfterBreak="0">
    <w:nsid w:val="02DE1F7E"/>
    <w:multiLevelType w:val="hybridMultilevel"/>
    <w:tmpl w:val="BA7CB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6A6B53"/>
    <w:multiLevelType w:val="hybridMultilevel"/>
    <w:tmpl w:val="B9B4E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 w15:restartNumberingAfterBreak="0">
    <w:nsid w:val="25270889"/>
    <w:multiLevelType w:val="multilevel"/>
    <w:tmpl w:val="4DC4AEDE"/>
    <w:name w:val="main_list222"/>
    <w:lvl w:ilvl="0">
      <w:start w:val="1"/>
      <w:numFmt w:val="decimal"/>
      <w:lvlRestart w:val="0"/>
      <w:pStyle w:val="HD6Level1"/>
      <w:isLgl/>
      <w:lvlText w:val="%1"/>
      <w:lvlJc w:val="left"/>
      <w:pPr>
        <w:tabs>
          <w:tab w:val="num" w:pos="709"/>
        </w:tabs>
        <w:ind w:left="709" w:hanging="709"/>
      </w:pPr>
      <w:rPr>
        <w:rFonts w:ascii="Arial" w:hAnsi="Arial" w:cs="Arial"/>
        <w:b w:val="0"/>
        <w:i w:val="0"/>
        <w:caps w:val="0"/>
        <w:sz w:val="20"/>
        <w:szCs w:val="20"/>
      </w:rPr>
    </w:lvl>
    <w:lvl w:ilvl="1">
      <w:start w:val="1"/>
      <w:numFmt w:val="decimal"/>
      <w:pStyle w:val="HD6Level2"/>
      <w:isLgl/>
      <w:lvlText w:val="%1.%2"/>
      <w:lvlJc w:val="left"/>
      <w:pPr>
        <w:tabs>
          <w:tab w:val="num" w:pos="1559"/>
        </w:tabs>
        <w:ind w:left="1559" w:hanging="850"/>
      </w:pPr>
      <w:rPr>
        <w:rFonts w:ascii="Arial" w:hAnsi="Arial" w:cs="Arial"/>
        <w:b w:val="0"/>
        <w:i w:val="0"/>
        <w:caps w:val="0"/>
        <w:sz w:val="20"/>
        <w:szCs w:val="20"/>
      </w:rPr>
    </w:lvl>
    <w:lvl w:ilvl="2">
      <w:start w:val="1"/>
      <w:numFmt w:val="decimal"/>
      <w:pStyle w:val="HD6Level3"/>
      <w:isLgl/>
      <w:lvlText w:val="%1.%2.%3"/>
      <w:lvlJc w:val="left"/>
      <w:pPr>
        <w:tabs>
          <w:tab w:val="num" w:pos="2551"/>
        </w:tabs>
        <w:ind w:left="2551" w:hanging="992"/>
      </w:pPr>
      <w:rPr>
        <w:rFonts w:ascii="Arial" w:hAnsi="Arial" w:cs="Arial"/>
        <w:b w:val="0"/>
        <w:i w:val="0"/>
        <w:caps w:val="0"/>
        <w:sz w:val="20"/>
        <w:szCs w:val="20"/>
      </w:rPr>
    </w:lvl>
    <w:lvl w:ilvl="3">
      <w:start w:val="1"/>
      <w:numFmt w:val="decimal"/>
      <w:pStyle w:val="HD6Level4"/>
      <w:isLgl/>
      <w:lvlText w:val="%1.%2.%3.%4"/>
      <w:lvlJc w:val="left"/>
      <w:pPr>
        <w:tabs>
          <w:tab w:val="num" w:pos="3685"/>
        </w:tabs>
        <w:ind w:left="3685" w:hanging="1134"/>
      </w:pPr>
      <w:rPr>
        <w:rFonts w:ascii="Arial" w:hAnsi="Arial" w:cs="Arial"/>
        <w:b w:val="0"/>
        <w:i w:val="0"/>
        <w:caps w:val="0"/>
        <w:sz w:val="22"/>
      </w:rPr>
    </w:lvl>
    <w:lvl w:ilvl="4">
      <w:start w:val="1"/>
      <w:numFmt w:val="decimal"/>
      <w:pStyle w:val="HD6Level5"/>
      <w:isLgl/>
      <w:lvlText w:val="%1.%2.%3.%4.%5"/>
      <w:lvlJc w:val="left"/>
      <w:pPr>
        <w:tabs>
          <w:tab w:val="num" w:pos="4961"/>
        </w:tabs>
        <w:ind w:left="4961" w:hanging="1276"/>
      </w:pPr>
      <w:rPr>
        <w:rFonts w:ascii="Arial" w:hAnsi="Arial" w:cs="Arial"/>
        <w:b w:val="0"/>
        <w:i w:val="0"/>
        <w:caps w:val="0"/>
        <w:sz w:val="22"/>
      </w:rPr>
    </w:lvl>
    <w:lvl w:ilvl="5">
      <w:start w:val="1"/>
      <w:numFmt w:val="decimal"/>
      <w:pStyle w:val="HD6Level6"/>
      <w:isLgl/>
      <w:lvlText w:val="%1.%2.%3.%4.%5.%6"/>
      <w:lvlJc w:val="left"/>
      <w:pPr>
        <w:tabs>
          <w:tab w:val="num" w:pos="6378"/>
        </w:tabs>
        <w:ind w:left="6378" w:hanging="1417"/>
      </w:pPr>
      <w:rPr>
        <w:rFonts w:ascii="Arial" w:hAnsi="Arial" w:cs="Arial"/>
        <w:b w:val="0"/>
        <w:i w:val="0"/>
        <w:caps w:val="0"/>
        <w:sz w:val="22"/>
      </w:rPr>
    </w:lvl>
    <w:lvl w:ilvl="6">
      <w:start w:val="1"/>
      <w:numFmt w:val="decimal"/>
      <w:pStyle w:val="HD6Level7"/>
      <w:isLgl/>
      <w:lvlText w:val="%1.%2.%3.%4.%5.%6.%7"/>
      <w:lvlJc w:val="left"/>
      <w:pPr>
        <w:tabs>
          <w:tab w:val="num" w:pos="6520"/>
        </w:tabs>
        <w:ind w:left="6389" w:hanging="1417"/>
      </w:pPr>
      <w:rPr>
        <w:rFonts w:ascii="Arial" w:hAnsi="Arial" w:cs="Arial"/>
        <w:b w:val="0"/>
        <w:i w:val="0"/>
        <w:caps w:val="0"/>
        <w:sz w:val="22"/>
      </w:rPr>
    </w:lvl>
    <w:lvl w:ilvl="7">
      <w:start w:val="1"/>
      <w:numFmt w:val="decimal"/>
      <w:pStyle w:val="HD6Level8"/>
      <w:isLgl/>
      <w:lvlText w:val="%1.%2.%3.%4.%5.%6.%7.%8"/>
      <w:lvlJc w:val="left"/>
      <w:pPr>
        <w:tabs>
          <w:tab w:val="num" w:pos="6661"/>
        </w:tabs>
        <w:ind w:left="6401" w:hanging="1418"/>
      </w:pPr>
      <w:rPr>
        <w:rFonts w:ascii="Arial" w:hAnsi="Arial" w:cs="Arial"/>
        <w:b w:val="0"/>
        <w:i w:val="0"/>
        <w:caps w:val="0"/>
        <w:sz w:val="22"/>
      </w:rPr>
    </w:lvl>
    <w:lvl w:ilvl="8">
      <w:start w:val="1"/>
      <w:numFmt w:val="decimal"/>
      <w:pStyle w:val="HD6Level9"/>
      <w:isLgl/>
      <w:lvlText w:val="%1.%2.%3.%4.%5.%6.%7.%8.%9"/>
      <w:lvlJc w:val="left"/>
      <w:pPr>
        <w:tabs>
          <w:tab w:val="num" w:pos="6803"/>
        </w:tabs>
        <w:ind w:left="6412" w:hanging="1417"/>
      </w:pPr>
      <w:rPr>
        <w:rFonts w:ascii="Arial" w:hAnsi="Arial" w:cs="Arial"/>
        <w:b w:val="0"/>
        <w:i w:val="0"/>
        <w:caps w:val="0"/>
        <w:sz w:val="22"/>
      </w:rPr>
    </w:lvl>
  </w:abstractNum>
  <w:abstractNum w:abstractNumId="4" w15:restartNumberingAfterBreak="0">
    <w:nsid w:val="48B638E8"/>
    <w:multiLevelType w:val="multilevel"/>
    <w:tmpl w:val="8780DC8E"/>
    <w:name w:val="SASList"/>
    <w:lvl w:ilvl="0">
      <w:start w:val="1"/>
      <w:numFmt w:val="upperLetter"/>
      <w:suff w:val="nothing"/>
      <w:lvlText w:val="%1 - "/>
      <w:lvlJc w:val="left"/>
      <w:pPr>
        <w:ind w:left="0" w:firstLine="0"/>
      </w:pPr>
      <w:rPr>
        <w:rFonts w:hint="default"/>
      </w:rPr>
    </w:lvl>
    <w:lvl w:ilvl="1">
      <w:start w:val="1"/>
      <w:numFmt w:val="decimal"/>
      <w:pStyle w:val="SAS-2"/>
      <w:lvlText w:val="%1.%2."/>
      <w:lvlJc w:val="left"/>
      <w:pPr>
        <w:tabs>
          <w:tab w:val="num" w:pos="1276"/>
        </w:tabs>
        <w:ind w:left="1277" w:hanging="567"/>
      </w:pPr>
      <w:rPr>
        <w:rFonts w:hint="default"/>
      </w:rPr>
    </w:lvl>
    <w:lvl w:ilvl="2">
      <w:start w:val="1"/>
      <w:numFmt w:val="decimal"/>
      <w:lvlText w:val="%3."/>
      <w:lvlJc w:val="left"/>
      <w:pPr>
        <w:tabs>
          <w:tab w:val="num" w:pos="1956"/>
        </w:tabs>
        <w:ind w:left="1956" w:hanging="538"/>
      </w:pPr>
      <w:rPr>
        <w:rFonts w:ascii="Calibri" w:eastAsia="Times New Roman" w:hAnsi="Calibri" w:cs="Times New Roman"/>
        <w:b w:val="0"/>
      </w:rPr>
    </w:lvl>
    <w:lvl w:ilvl="3">
      <w:start w:val="1"/>
      <w:numFmt w:val="lowerLetter"/>
      <w:pStyle w:val="SAS-4"/>
      <w:lvlText w:val="%4)"/>
      <w:lvlJc w:val="left"/>
      <w:pPr>
        <w:tabs>
          <w:tab w:val="num" w:pos="2835"/>
        </w:tabs>
        <w:ind w:left="2834" w:hanging="708"/>
      </w:pPr>
      <w:rPr>
        <w:rFonts w:hint="default"/>
      </w:rPr>
    </w:lvl>
    <w:lvl w:ilvl="4">
      <w:start w:val="1"/>
      <w:numFmt w:val="lowerRoman"/>
      <w:pStyle w:val="SAS-5"/>
      <w:lvlText w:val="%5)"/>
      <w:lvlJc w:val="left"/>
      <w:pPr>
        <w:tabs>
          <w:tab w:val="num" w:pos="0"/>
        </w:tabs>
        <w:ind w:left="3542" w:hanging="708"/>
      </w:pPr>
      <w:rPr>
        <w:rFonts w:hint="default"/>
      </w:rPr>
    </w:lvl>
    <w:lvl w:ilvl="5">
      <w:start w:val="1"/>
      <w:numFmt w:val="lowerLetter"/>
      <w:lvlText w:val="(%6)"/>
      <w:lvlJc w:val="left"/>
      <w:pPr>
        <w:tabs>
          <w:tab w:val="num" w:pos="2"/>
        </w:tabs>
        <w:ind w:left="4250" w:hanging="708"/>
      </w:pPr>
      <w:rPr>
        <w:rFonts w:hint="default"/>
      </w:rPr>
    </w:lvl>
    <w:lvl w:ilvl="6">
      <w:start w:val="1"/>
      <w:numFmt w:val="lowerRoman"/>
      <w:lvlText w:val="(%7)"/>
      <w:lvlJc w:val="left"/>
      <w:pPr>
        <w:tabs>
          <w:tab w:val="num" w:pos="2"/>
        </w:tabs>
        <w:ind w:left="4958" w:hanging="708"/>
      </w:pPr>
      <w:rPr>
        <w:rFonts w:hint="default"/>
      </w:rPr>
    </w:lvl>
    <w:lvl w:ilvl="7">
      <w:start w:val="1"/>
      <w:numFmt w:val="lowerLetter"/>
      <w:lvlText w:val="(%8)"/>
      <w:lvlJc w:val="left"/>
      <w:pPr>
        <w:tabs>
          <w:tab w:val="num" w:pos="2"/>
        </w:tabs>
        <w:ind w:left="5666" w:hanging="708"/>
      </w:pPr>
      <w:rPr>
        <w:rFonts w:hint="default"/>
      </w:rPr>
    </w:lvl>
    <w:lvl w:ilvl="8">
      <w:start w:val="1"/>
      <w:numFmt w:val="lowerRoman"/>
      <w:lvlText w:val="(%9)"/>
      <w:lvlJc w:val="left"/>
      <w:pPr>
        <w:tabs>
          <w:tab w:val="num" w:pos="2"/>
        </w:tabs>
        <w:ind w:left="6374" w:hanging="708"/>
      </w:pPr>
      <w:rPr>
        <w:rFonts w:hint="default"/>
      </w:rPr>
    </w:lvl>
  </w:abstractNum>
  <w:abstractNum w:abstractNumId="5" w15:restartNumberingAfterBreak="0">
    <w:nsid w:val="4D237197"/>
    <w:multiLevelType w:val="hybridMultilevel"/>
    <w:tmpl w:val="18388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D140719"/>
    <w:multiLevelType w:val="hybridMultilevel"/>
    <w:tmpl w:val="DA1A9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AC063D4"/>
    <w:multiLevelType w:val="hybridMultilevel"/>
    <w:tmpl w:val="0B400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3"/>
  </w:num>
  <w:num w:numId="2">
    <w:abstractNumId w:val="4"/>
  </w:num>
  <w:num w:numId="3">
    <w:abstractNumId w:val="7"/>
  </w:num>
  <w:num w:numId="4">
    <w:abstractNumId w:val="9"/>
  </w:num>
  <w:num w:numId="5">
    <w:abstractNumId w:val="2"/>
  </w:num>
  <w:num w:numId="6">
    <w:abstractNumId w:val="1"/>
  </w:num>
  <w:num w:numId="7">
    <w:abstractNumId w:val="8"/>
  </w:num>
  <w:num w:numId="8">
    <w:abstractNumId w:val="6"/>
  </w:num>
  <w:num w:numId="9">
    <w:abstractNumId w:val="0"/>
  </w:num>
  <w:num w:numId="10">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00F8"/>
    <w:rsid w:val="000211B3"/>
    <w:rsid w:val="00023581"/>
    <w:rsid w:val="00031235"/>
    <w:rsid w:val="0004608C"/>
    <w:rsid w:val="0005388D"/>
    <w:rsid w:val="00062D06"/>
    <w:rsid w:val="000715E4"/>
    <w:rsid w:val="000A57FB"/>
    <w:rsid w:val="000A5CEF"/>
    <w:rsid w:val="000C7E1B"/>
    <w:rsid w:val="000D4729"/>
    <w:rsid w:val="000D7B69"/>
    <w:rsid w:val="000E15BA"/>
    <w:rsid w:val="000E2B02"/>
    <w:rsid w:val="000E6B7D"/>
    <w:rsid w:val="000F7BA4"/>
    <w:rsid w:val="00100F61"/>
    <w:rsid w:val="00106428"/>
    <w:rsid w:val="00121A9B"/>
    <w:rsid w:val="00175291"/>
    <w:rsid w:val="00190E3E"/>
    <w:rsid w:val="001A1319"/>
    <w:rsid w:val="001D4095"/>
    <w:rsid w:val="001E2160"/>
    <w:rsid w:val="001E6255"/>
    <w:rsid w:val="00207719"/>
    <w:rsid w:val="00207975"/>
    <w:rsid w:val="00217AEF"/>
    <w:rsid w:val="002322B8"/>
    <w:rsid w:val="00234AB6"/>
    <w:rsid w:val="002402A4"/>
    <w:rsid w:val="00280883"/>
    <w:rsid w:val="002A4CF9"/>
    <w:rsid w:val="002B5CE7"/>
    <w:rsid w:val="002B7D2A"/>
    <w:rsid w:val="002E3FB9"/>
    <w:rsid w:val="002E6D58"/>
    <w:rsid w:val="002F0F80"/>
    <w:rsid w:val="003131C3"/>
    <w:rsid w:val="0034528A"/>
    <w:rsid w:val="003709C8"/>
    <w:rsid w:val="003C6B4D"/>
    <w:rsid w:val="003D1521"/>
    <w:rsid w:val="0041691C"/>
    <w:rsid w:val="004260ED"/>
    <w:rsid w:val="00426A10"/>
    <w:rsid w:val="00431A23"/>
    <w:rsid w:val="0043481D"/>
    <w:rsid w:val="00456062"/>
    <w:rsid w:val="00461CA8"/>
    <w:rsid w:val="004818B2"/>
    <w:rsid w:val="00482753"/>
    <w:rsid w:val="004A16FC"/>
    <w:rsid w:val="004A736B"/>
    <w:rsid w:val="004B3EE1"/>
    <w:rsid w:val="004B5419"/>
    <w:rsid w:val="004D30CC"/>
    <w:rsid w:val="004F459A"/>
    <w:rsid w:val="005105CB"/>
    <w:rsid w:val="00531851"/>
    <w:rsid w:val="00534952"/>
    <w:rsid w:val="00541DC2"/>
    <w:rsid w:val="0054343A"/>
    <w:rsid w:val="005822C5"/>
    <w:rsid w:val="005D7DBF"/>
    <w:rsid w:val="005F65B7"/>
    <w:rsid w:val="00620FB8"/>
    <w:rsid w:val="006224C1"/>
    <w:rsid w:val="006462FC"/>
    <w:rsid w:val="00657BFB"/>
    <w:rsid w:val="0066580E"/>
    <w:rsid w:val="00685411"/>
    <w:rsid w:val="006A0568"/>
    <w:rsid w:val="006B3B28"/>
    <w:rsid w:val="00711187"/>
    <w:rsid w:val="00750CE9"/>
    <w:rsid w:val="007532EF"/>
    <w:rsid w:val="0075525E"/>
    <w:rsid w:val="00765DBC"/>
    <w:rsid w:val="007716CF"/>
    <w:rsid w:val="00786C3F"/>
    <w:rsid w:val="007A3DE5"/>
    <w:rsid w:val="007B04B3"/>
    <w:rsid w:val="007B3F4E"/>
    <w:rsid w:val="007B56C3"/>
    <w:rsid w:val="007B6461"/>
    <w:rsid w:val="007E38CC"/>
    <w:rsid w:val="0080568C"/>
    <w:rsid w:val="008100F8"/>
    <w:rsid w:val="00811B83"/>
    <w:rsid w:val="00812583"/>
    <w:rsid w:val="00893CE0"/>
    <w:rsid w:val="008A6231"/>
    <w:rsid w:val="008B698B"/>
    <w:rsid w:val="008E3F17"/>
    <w:rsid w:val="00900A98"/>
    <w:rsid w:val="009149B3"/>
    <w:rsid w:val="00920176"/>
    <w:rsid w:val="009423CF"/>
    <w:rsid w:val="00961059"/>
    <w:rsid w:val="00963046"/>
    <w:rsid w:val="00970E04"/>
    <w:rsid w:val="0098228E"/>
    <w:rsid w:val="00985AD8"/>
    <w:rsid w:val="00994906"/>
    <w:rsid w:val="009D7746"/>
    <w:rsid w:val="009E68A8"/>
    <w:rsid w:val="009F3841"/>
    <w:rsid w:val="009F3AE7"/>
    <w:rsid w:val="00A1071A"/>
    <w:rsid w:val="00A422AC"/>
    <w:rsid w:val="00A6267E"/>
    <w:rsid w:val="00A72B87"/>
    <w:rsid w:val="00A74B12"/>
    <w:rsid w:val="00A9033D"/>
    <w:rsid w:val="00A93708"/>
    <w:rsid w:val="00AC2F15"/>
    <w:rsid w:val="00AE2EB5"/>
    <w:rsid w:val="00B16467"/>
    <w:rsid w:val="00B26341"/>
    <w:rsid w:val="00B473B7"/>
    <w:rsid w:val="00B61D9E"/>
    <w:rsid w:val="00B80385"/>
    <w:rsid w:val="00BA51A8"/>
    <w:rsid w:val="00BA63AC"/>
    <w:rsid w:val="00BC5389"/>
    <w:rsid w:val="00BC5B5F"/>
    <w:rsid w:val="00BF27BC"/>
    <w:rsid w:val="00C016A7"/>
    <w:rsid w:val="00C051BF"/>
    <w:rsid w:val="00C222F5"/>
    <w:rsid w:val="00C50678"/>
    <w:rsid w:val="00C77EFA"/>
    <w:rsid w:val="00C800DF"/>
    <w:rsid w:val="00C92821"/>
    <w:rsid w:val="00CA0E7B"/>
    <w:rsid w:val="00CA3550"/>
    <w:rsid w:val="00CD268C"/>
    <w:rsid w:val="00CF72C6"/>
    <w:rsid w:val="00D10D2E"/>
    <w:rsid w:val="00D20DE3"/>
    <w:rsid w:val="00D5434C"/>
    <w:rsid w:val="00D660DC"/>
    <w:rsid w:val="00D66EEB"/>
    <w:rsid w:val="00D748D1"/>
    <w:rsid w:val="00D86B90"/>
    <w:rsid w:val="00D879CF"/>
    <w:rsid w:val="00DA2ED8"/>
    <w:rsid w:val="00DC3C65"/>
    <w:rsid w:val="00DD2AEF"/>
    <w:rsid w:val="00DE72BD"/>
    <w:rsid w:val="00E1051C"/>
    <w:rsid w:val="00E11EBC"/>
    <w:rsid w:val="00E15570"/>
    <w:rsid w:val="00E4033A"/>
    <w:rsid w:val="00E409B3"/>
    <w:rsid w:val="00E453E7"/>
    <w:rsid w:val="00E46DDB"/>
    <w:rsid w:val="00E80A5F"/>
    <w:rsid w:val="00E80E94"/>
    <w:rsid w:val="00E94E03"/>
    <w:rsid w:val="00ED3AA8"/>
    <w:rsid w:val="00F172E3"/>
    <w:rsid w:val="00F506BB"/>
    <w:rsid w:val="00F54A13"/>
    <w:rsid w:val="00F90B8D"/>
    <w:rsid w:val="00FA30A6"/>
    <w:rsid w:val="00FD5B58"/>
    <w:rsid w:val="00FE1D81"/>
    <w:rsid w:val="00FE7B12"/>
    <w:rsid w:val="00FE7C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B2CA109"/>
  <w15:chartTrackingRefBased/>
  <w15:docId w15:val="{52121364-1C22-46EF-91E8-E575976E5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434C"/>
    <w:pPr>
      <w:spacing w:after="200" w:line="276" w:lineRule="auto"/>
    </w:pPr>
    <w:rPr>
      <w:sz w:val="22"/>
      <w:szCs w:val="22"/>
      <w:lang w:eastAsia="en-US"/>
    </w:rPr>
  </w:style>
  <w:style w:type="paragraph" w:styleId="Heading1">
    <w:name w:val="heading 1"/>
    <w:basedOn w:val="Normal"/>
    <w:next w:val="Normal"/>
    <w:link w:val="Heading1Char"/>
    <w:uiPriority w:val="9"/>
    <w:qFormat/>
    <w:rsid w:val="00D5434C"/>
    <w:pPr>
      <w:keepNext/>
      <w:keepLines/>
      <w:spacing w:before="480" w:after="0"/>
      <w:outlineLvl w:val="0"/>
    </w:pPr>
    <w:rPr>
      <w:rFonts w:eastAsia="Times New Roman"/>
      <w:b/>
      <w:bCs/>
      <w:color w:val="527D55"/>
      <w:sz w:val="28"/>
      <w:szCs w:val="28"/>
    </w:rPr>
  </w:style>
  <w:style w:type="paragraph" w:styleId="Heading2">
    <w:name w:val="heading 2"/>
    <w:basedOn w:val="Normal"/>
    <w:next w:val="Normal"/>
    <w:link w:val="Heading2Char"/>
    <w:uiPriority w:val="9"/>
    <w:unhideWhenUsed/>
    <w:qFormat/>
    <w:rsid w:val="00D5434C"/>
    <w:pPr>
      <w:keepNext/>
      <w:keepLines/>
      <w:spacing w:before="200" w:after="0"/>
      <w:outlineLvl w:val="1"/>
    </w:pPr>
    <w:rPr>
      <w:rFonts w:eastAsia="Times New Roman"/>
      <w:b/>
      <w:bCs/>
      <w:color w:val="72A376"/>
      <w:sz w:val="26"/>
      <w:szCs w:val="26"/>
    </w:rPr>
  </w:style>
  <w:style w:type="paragraph" w:styleId="Heading3">
    <w:name w:val="heading 3"/>
    <w:basedOn w:val="Normal"/>
    <w:next w:val="Normal"/>
    <w:link w:val="Heading3Char"/>
    <w:uiPriority w:val="9"/>
    <w:unhideWhenUsed/>
    <w:qFormat/>
    <w:rsid w:val="00D5434C"/>
    <w:pPr>
      <w:keepNext/>
      <w:keepLines/>
      <w:spacing w:before="200" w:after="0"/>
      <w:outlineLvl w:val="2"/>
    </w:pPr>
    <w:rPr>
      <w:rFonts w:eastAsia="Times New Roman"/>
      <w:b/>
      <w:bCs/>
      <w:color w:val="72A376"/>
    </w:rPr>
  </w:style>
  <w:style w:type="paragraph" w:styleId="Heading4">
    <w:name w:val="heading 4"/>
    <w:basedOn w:val="Normal"/>
    <w:next w:val="Normal"/>
    <w:link w:val="Heading4Char"/>
    <w:uiPriority w:val="9"/>
    <w:unhideWhenUsed/>
    <w:qFormat/>
    <w:rsid w:val="00D5434C"/>
    <w:pPr>
      <w:keepNext/>
      <w:keepLines/>
      <w:spacing w:before="200" w:after="0"/>
      <w:outlineLvl w:val="3"/>
    </w:pPr>
    <w:rPr>
      <w:rFonts w:eastAsia="Times New Roman"/>
      <w:b/>
      <w:bCs/>
      <w:i/>
      <w:iCs/>
      <w:color w:val="72A3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5434C"/>
    <w:pPr>
      <w:pBdr>
        <w:bottom w:val="single" w:sz="8" w:space="4" w:color="72A376"/>
      </w:pBdr>
      <w:spacing w:after="300" w:line="240" w:lineRule="auto"/>
      <w:contextualSpacing/>
    </w:pPr>
    <w:rPr>
      <w:rFonts w:eastAsia="Times New Roman"/>
      <w:color w:val="4D4F3F"/>
      <w:spacing w:val="5"/>
      <w:kern w:val="28"/>
      <w:sz w:val="52"/>
      <w:szCs w:val="52"/>
    </w:rPr>
  </w:style>
  <w:style w:type="character" w:customStyle="1" w:styleId="TitleChar">
    <w:name w:val="Title Char"/>
    <w:link w:val="Title"/>
    <w:uiPriority w:val="10"/>
    <w:rsid w:val="00D5434C"/>
    <w:rPr>
      <w:rFonts w:ascii="Calibri" w:eastAsia="Times New Roman" w:hAnsi="Calibri" w:cs="Times New Roman"/>
      <w:color w:val="4D4F3F"/>
      <w:spacing w:val="5"/>
      <w:kern w:val="28"/>
      <w:sz w:val="52"/>
      <w:szCs w:val="52"/>
    </w:rPr>
  </w:style>
  <w:style w:type="character" w:customStyle="1" w:styleId="Heading1Char">
    <w:name w:val="Heading 1 Char"/>
    <w:link w:val="Heading1"/>
    <w:uiPriority w:val="9"/>
    <w:rsid w:val="00D5434C"/>
    <w:rPr>
      <w:rFonts w:ascii="Calibri" w:eastAsia="Times New Roman" w:hAnsi="Calibri" w:cs="Times New Roman"/>
      <w:b/>
      <w:bCs/>
      <w:color w:val="527D55"/>
      <w:sz w:val="28"/>
      <w:szCs w:val="28"/>
    </w:rPr>
  </w:style>
  <w:style w:type="paragraph" w:styleId="BalloonText">
    <w:name w:val="Balloon Text"/>
    <w:basedOn w:val="Normal"/>
    <w:link w:val="BalloonTextChar"/>
    <w:uiPriority w:val="99"/>
    <w:semiHidden/>
    <w:unhideWhenUsed/>
    <w:rsid w:val="008100F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100F8"/>
    <w:rPr>
      <w:rFonts w:ascii="Tahoma" w:hAnsi="Tahoma" w:cs="Tahoma"/>
      <w:sz w:val="16"/>
      <w:szCs w:val="16"/>
    </w:rPr>
  </w:style>
  <w:style w:type="paragraph" w:styleId="ListParagraph">
    <w:name w:val="List Paragraph"/>
    <w:basedOn w:val="Normal"/>
    <w:uiPriority w:val="34"/>
    <w:qFormat/>
    <w:rsid w:val="00D5434C"/>
    <w:pPr>
      <w:ind w:left="720"/>
      <w:contextualSpacing/>
    </w:pPr>
  </w:style>
  <w:style w:type="character" w:customStyle="1" w:styleId="Heading2Char">
    <w:name w:val="Heading 2 Char"/>
    <w:link w:val="Heading2"/>
    <w:uiPriority w:val="9"/>
    <w:rsid w:val="00D5434C"/>
    <w:rPr>
      <w:rFonts w:ascii="Calibri" w:eastAsia="Times New Roman" w:hAnsi="Calibri" w:cs="Times New Roman"/>
      <w:b/>
      <w:bCs/>
      <w:color w:val="72A376"/>
      <w:sz w:val="26"/>
      <w:szCs w:val="26"/>
    </w:rPr>
  </w:style>
  <w:style w:type="paragraph" w:styleId="NormalWeb">
    <w:name w:val="Normal (Web)"/>
    <w:basedOn w:val="Normal"/>
    <w:uiPriority w:val="99"/>
    <w:unhideWhenUsed/>
    <w:rsid w:val="00C92821"/>
    <w:pPr>
      <w:spacing w:before="100" w:beforeAutospacing="1" w:after="100" w:afterAutospacing="1" w:line="240" w:lineRule="auto"/>
    </w:pPr>
    <w:rPr>
      <w:rFonts w:ascii="Times New Roman" w:eastAsia="Times New Roman" w:hAnsi="Times New Roman"/>
      <w:sz w:val="24"/>
      <w:szCs w:val="24"/>
      <w:lang w:eastAsia="en-GB"/>
    </w:rPr>
  </w:style>
  <w:style w:type="character" w:styleId="Hyperlink">
    <w:name w:val="Hyperlink"/>
    <w:semiHidden/>
    <w:unhideWhenUsed/>
    <w:rsid w:val="00C92821"/>
    <w:rPr>
      <w:color w:val="0000FF"/>
      <w:u w:val="single"/>
    </w:rPr>
  </w:style>
  <w:style w:type="paragraph" w:styleId="Subtitle">
    <w:name w:val="Subtitle"/>
    <w:basedOn w:val="Normal"/>
    <w:next w:val="Normal"/>
    <w:link w:val="SubtitleChar"/>
    <w:uiPriority w:val="11"/>
    <w:qFormat/>
    <w:rsid w:val="00D5434C"/>
    <w:pPr>
      <w:numPr>
        <w:ilvl w:val="1"/>
      </w:numPr>
    </w:pPr>
    <w:rPr>
      <w:rFonts w:eastAsia="Times New Roman"/>
      <w:i/>
      <w:iCs/>
      <w:color w:val="72A376"/>
      <w:spacing w:val="15"/>
      <w:sz w:val="24"/>
      <w:szCs w:val="24"/>
    </w:rPr>
  </w:style>
  <w:style w:type="character" w:customStyle="1" w:styleId="SubtitleChar">
    <w:name w:val="Subtitle Char"/>
    <w:link w:val="Subtitle"/>
    <w:uiPriority w:val="11"/>
    <w:rsid w:val="00D5434C"/>
    <w:rPr>
      <w:rFonts w:ascii="Calibri" w:eastAsia="Times New Roman" w:hAnsi="Calibri" w:cs="Times New Roman"/>
      <w:i/>
      <w:iCs/>
      <w:color w:val="72A376"/>
      <w:spacing w:val="15"/>
      <w:sz w:val="24"/>
      <w:szCs w:val="24"/>
    </w:rPr>
  </w:style>
  <w:style w:type="character" w:customStyle="1" w:styleId="tgc">
    <w:name w:val="_tgc"/>
    <w:basedOn w:val="DefaultParagraphFont"/>
    <w:rsid w:val="00C50678"/>
  </w:style>
  <w:style w:type="table" w:customStyle="1" w:styleId="LightShading-Accent11">
    <w:name w:val="Light Shading - Accent 11"/>
    <w:basedOn w:val="TableNormal"/>
    <w:uiPriority w:val="60"/>
    <w:rsid w:val="0054343A"/>
    <w:rPr>
      <w:color w:val="527D55"/>
    </w:rPr>
    <w:tblPr>
      <w:tblStyleRowBandSize w:val="1"/>
      <w:tblStyleColBandSize w:val="1"/>
      <w:tblBorders>
        <w:top w:val="single" w:sz="8" w:space="0" w:color="72A376"/>
        <w:bottom w:val="single" w:sz="8" w:space="0" w:color="72A376"/>
      </w:tblBorders>
    </w:tblPr>
    <w:tblStylePr w:type="firstRow">
      <w:pPr>
        <w:spacing w:before="0" w:after="0" w:line="240" w:lineRule="auto"/>
      </w:pPr>
      <w:rPr>
        <w:b/>
        <w:bCs/>
      </w:rPr>
      <w:tblPr/>
      <w:tcPr>
        <w:tcBorders>
          <w:top w:val="single" w:sz="8" w:space="0" w:color="72A376"/>
          <w:left w:val="nil"/>
          <w:bottom w:val="single" w:sz="8" w:space="0" w:color="72A376"/>
          <w:right w:val="nil"/>
          <w:insideH w:val="nil"/>
          <w:insideV w:val="nil"/>
        </w:tcBorders>
      </w:tcPr>
    </w:tblStylePr>
    <w:tblStylePr w:type="lastRow">
      <w:pPr>
        <w:spacing w:before="0" w:after="0" w:line="240" w:lineRule="auto"/>
      </w:pPr>
      <w:rPr>
        <w:b/>
        <w:bCs/>
      </w:rPr>
      <w:tblPr/>
      <w:tcPr>
        <w:tcBorders>
          <w:top w:val="single" w:sz="8" w:space="0" w:color="72A376"/>
          <w:left w:val="nil"/>
          <w:bottom w:val="single" w:sz="8" w:space="0" w:color="72A37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CE8DC"/>
      </w:tcPr>
    </w:tblStylePr>
    <w:tblStylePr w:type="band1Horz">
      <w:tblPr/>
      <w:tcPr>
        <w:tcBorders>
          <w:left w:val="nil"/>
          <w:right w:val="nil"/>
          <w:insideH w:val="nil"/>
          <w:insideV w:val="nil"/>
        </w:tcBorders>
        <w:shd w:val="clear" w:color="auto" w:fill="DCE8DC"/>
      </w:tcPr>
    </w:tblStylePr>
  </w:style>
  <w:style w:type="table" w:styleId="TableGrid">
    <w:name w:val="Table Grid"/>
    <w:basedOn w:val="TableNormal"/>
    <w:uiPriority w:val="59"/>
    <w:rsid w:val="00620F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72B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2B87"/>
  </w:style>
  <w:style w:type="paragraph" w:styleId="Footer">
    <w:name w:val="footer"/>
    <w:basedOn w:val="Normal"/>
    <w:link w:val="FooterChar"/>
    <w:uiPriority w:val="99"/>
    <w:unhideWhenUsed/>
    <w:rsid w:val="00A72B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2B87"/>
  </w:style>
  <w:style w:type="character" w:styleId="Emphasis">
    <w:name w:val="Emphasis"/>
    <w:uiPriority w:val="20"/>
    <w:qFormat/>
    <w:rsid w:val="00D5434C"/>
    <w:rPr>
      <w:i/>
      <w:iCs/>
    </w:rPr>
  </w:style>
  <w:style w:type="character" w:styleId="IntenseEmphasis">
    <w:name w:val="Intense Emphasis"/>
    <w:uiPriority w:val="21"/>
    <w:qFormat/>
    <w:rsid w:val="00D5434C"/>
    <w:rPr>
      <w:b/>
      <w:bCs/>
      <w:i/>
      <w:iCs/>
      <w:color w:val="72A376"/>
    </w:rPr>
  </w:style>
  <w:style w:type="character" w:styleId="Strong">
    <w:name w:val="Strong"/>
    <w:uiPriority w:val="22"/>
    <w:qFormat/>
    <w:rsid w:val="00D5434C"/>
    <w:rPr>
      <w:b/>
      <w:bCs/>
    </w:rPr>
  </w:style>
  <w:style w:type="character" w:customStyle="1" w:styleId="Heading3Char">
    <w:name w:val="Heading 3 Char"/>
    <w:link w:val="Heading3"/>
    <w:uiPriority w:val="9"/>
    <w:rsid w:val="00D5434C"/>
    <w:rPr>
      <w:rFonts w:ascii="Calibri" w:eastAsia="Times New Roman" w:hAnsi="Calibri" w:cs="Times New Roman"/>
      <w:b/>
      <w:bCs/>
      <w:color w:val="72A376"/>
    </w:rPr>
  </w:style>
  <w:style w:type="paragraph" w:styleId="NoSpacing">
    <w:name w:val="No Spacing"/>
    <w:uiPriority w:val="1"/>
    <w:qFormat/>
    <w:rsid w:val="00D5434C"/>
    <w:rPr>
      <w:sz w:val="22"/>
      <w:szCs w:val="22"/>
      <w:lang w:eastAsia="en-US"/>
    </w:rPr>
  </w:style>
  <w:style w:type="paragraph" w:styleId="BodyText">
    <w:name w:val="Body Text"/>
    <w:basedOn w:val="Normal"/>
    <w:link w:val="BodyTextChar"/>
    <w:semiHidden/>
    <w:rsid w:val="00CA0E7B"/>
    <w:pPr>
      <w:spacing w:after="0" w:line="240" w:lineRule="auto"/>
    </w:pPr>
    <w:rPr>
      <w:rFonts w:ascii="Lucida Sans" w:eastAsia="Times New Roman" w:hAnsi="Lucida Sans"/>
      <w:sz w:val="24"/>
      <w:szCs w:val="20"/>
    </w:rPr>
  </w:style>
  <w:style w:type="character" w:customStyle="1" w:styleId="BodyTextChar">
    <w:name w:val="Body Text Char"/>
    <w:link w:val="BodyText"/>
    <w:semiHidden/>
    <w:rsid w:val="00CA0E7B"/>
    <w:rPr>
      <w:rFonts w:ascii="Lucida Sans" w:eastAsia="Times New Roman" w:hAnsi="Lucida Sans" w:cs="Times New Roman"/>
      <w:sz w:val="24"/>
      <w:szCs w:val="20"/>
    </w:rPr>
  </w:style>
  <w:style w:type="character" w:styleId="SubtleEmphasis">
    <w:name w:val="Subtle Emphasis"/>
    <w:uiPriority w:val="19"/>
    <w:qFormat/>
    <w:rsid w:val="00D5434C"/>
    <w:rPr>
      <w:i/>
      <w:iCs/>
      <w:color w:val="808080"/>
    </w:rPr>
  </w:style>
  <w:style w:type="character" w:customStyle="1" w:styleId="Heading4Char">
    <w:name w:val="Heading 4 Char"/>
    <w:link w:val="Heading4"/>
    <w:uiPriority w:val="9"/>
    <w:rsid w:val="00D5434C"/>
    <w:rPr>
      <w:rFonts w:ascii="Calibri" w:eastAsia="Times New Roman" w:hAnsi="Calibri" w:cs="Times New Roman"/>
      <w:b/>
      <w:bCs/>
      <w:i/>
      <w:iCs/>
      <w:color w:val="72A376"/>
    </w:rPr>
  </w:style>
  <w:style w:type="paragraph" w:styleId="BodyTextIndent">
    <w:name w:val="Body Text Indent"/>
    <w:basedOn w:val="Normal"/>
    <w:link w:val="BodyTextIndentChar"/>
    <w:uiPriority w:val="99"/>
    <w:unhideWhenUsed/>
    <w:rsid w:val="007A3DE5"/>
    <w:pPr>
      <w:spacing w:after="120"/>
      <w:ind w:left="283"/>
    </w:pPr>
  </w:style>
  <w:style w:type="character" w:customStyle="1" w:styleId="BodyTextIndentChar">
    <w:name w:val="Body Text Indent Char"/>
    <w:basedOn w:val="DefaultParagraphFont"/>
    <w:link w:val="BodyTextIndent"/>
    <w:uiPriority w:val="99"/>
    <w:rsid w:val="007A3DE5"/>
  </w:style>
  <w:style w:type="table" w:customStyle="1" w:styleId="LightList-Accent11">
    <w:name w:val="Light List - Accent 11"/>
    <w:basedOn w:val="TableNormal"/>
    <w:uiPriority w:val="61"/>
    <w:rsid w:val="00FE1D81"/>
    <w:tblPr>
      <w:tblStyleRowBandSize w:val="1"/>
      <w:tblStyleColBandSize w:val="1"/>
      <w:tblBorders>
        <w:top w:val="single" w:sz="8" w:space="0" w:color="72A376"/>
        <w:left w:val="single" w:sz="8" w:space="0" w:color="72A376"/>
        <w:bottom w:val="single" w:sz="8" w:space="0" w:color="72A376"/>
        <w:right w:val="single" w:sz="8" w:space="0" w:color="72A376"/>
      </w:tblBorders>
    </w:tblPr>
    <w:tblStylePr w:type="firstRow">
      <w:pPr>
        <w:spacing w:before="0" w:after="0" w:line="240" w:lineRule="auto"/>
      </w:pPr>
      <w:rPr>
        <w:b/>
        <w:bCs/>
        <w:color w:val="FFFFFF"/>
      </w:rPr>
      <w:tblPr/>
      <w:tcPr>
        <w:shd w:val="clear" w:color="auto" w:fill="72A376"/>
      </w:tcPr>
    </w:tblStylePr>
    <w:tblStylePr w:type="lastRow">
      <w:pPr>
        <w:spacing w:before="0" w:after="0" w:line="240" w:lineRule="auto"/>
      </w:pPr>
      <w:rPr>
        <w:b/>
        <w:bCs/>
      </w:rPr>
      <w:tblPr/>
      <w:tcPr>
        <w:tcBorders>
          <w:top w:val="double" w:sz="6" w:space="0" w:color="72A376"/>
          <w:left w:val="single" w:sz="8" w:space="0" w:color="72A376"/>
          <w:bottom w:val="single" w:sz="8" w:space="0" w:color="72A376"/>
          <w:right w:val="single" w:sz="8" w:space="0" w:color="72A376"/>
        </w:tcBorders>
      </w:tcPr>
    </w:tblStylePr>
    <w:tblStylePr w:type="firstCol">
      <w:rPr>
        <w:b/>
        <w:bCs/>
      </w:rPr>
    </w:tblStylePr>
    <w:tblStylePr w:type="lastCol">
      <w:rPr>
        <w:b/>
        <w:bCs/>
      </w:rPr>
    </w:tblStylePr>
    <w:tblStylePr w:type="band1Vert">
      <w:tblPr/>
      <w:tcPr>
        <w:tcBorders>
          <w:top w:val="single" w:sz="8" w:space="0" w:color="72A376"/>
          <w:left w:val="single" w:sz="8" w:space="0" w:color="72A376"/>
          <w:bottom w:val="single" w:sz="8" w:space="0" w:color="72A376"/>
          <w:right w:val="single" w:sz="8" w:space="0" w:color="72A376"/>
        </w:tcBorders>
      </w:tcPr>
    </w:tblStylePr>
    <w:tblStylePr w:type="band1Horz">
      <w:tblPr/>
      <w:tcPr>
        <w:tcBorders>
          <w:top w:val="single" w:sz="8" w:space="0" w:color="72A376"/>
          <w:left w:val="single" w:sz="8" w:space="0" w:color="72A376"/>
          <w:bottom w:val="single" w:sz="8" w:space="0" w:color="72A376"/>
          <w:right w:val="single" w:sz="8" w:space="0" w:color="72A376"/>
        </w:tcBorders>
      </w:tcPr>
    </w:tblStylePr>
  </w:style>
  <w:style w:type="paragraph" w:styleId="BodyTextIndent2">
    <w:name w:val="Body Text Indent 2"/>
    <w:basedOn w:val="Normal"/>
    <w:link w:val="BodyTextIndent2Char"/>
    <w:uiPriority w:val="99"/>
    <w:semiHidden/>
    <w:unhideWhenUsed/>
    <w:rsid w:val="00D66EEB"/>
    <w:pPr>
      <w:spacing w:after="120" w:line="480" w:lineRule="auto"/>
      <w:ind w:left="283"/>
    </w:pPr>
  </w:style>
  <w:style w:type="character" w:customStyle="1" w:styleId="BodyTextIndent2Char">
    <w:name w:val="Body Text Indent 2 Char"/>
    <w:basedOn w:val="DefaultParagraphFont"/>
    <w:link w:val="BodyTextIndent2"/>
    <w:uiPriority w:val="99"/>
    <w:semiHidden/>
    <w:rsid w:val="00D66EEB"/>
  </w:style>
  <w:style w:type="paragraph" w:customStyle="1" w:styleId="Normal1">
    <w:name w:val="Normal1"/>
    <w:rsid w:val="00456062"/>
    <w:pPr>
      <w:widowControl w:val="0"/>
    </w:pPr>
    <w:rPr>
      <w:rFonts w:ascii="Times New Roman" w:eastAsia="Times New Roman" w:hAnsi="Times New Roman"/>
      <w:color w:val="000000"/>
    </w:rPr>
  </w:style>
  <w:style w:type="table" w:customStyle="1" w:styleId="MediumShading1-Accent11">
    <w:name w:val="Medium Shading 1 - Accent 11"/>
    <w:basedOn w:val="TableNormal"/>
    <w:uiPriority w:val="63"/>
    <w:rsid w:val="00456062"/>
    <w:tblPr>
      <w:tblStyleRowBandSize w:val="1"/>
      <w:tblStyleColBandSize w:val="1"/>
      <w:tblBorders>
        <w:top w:val="single" w:sz="8" w:space="0" w:color="95BA98"/>
        <w:left w:val="single" w:sz="8" w:space="0" w:color="95BA98"/>
        <w:bottom w:val="single" w:sz="8" w:space="0" w:color="95BA98"/>
        <w:right w:val="single" w:sz="8" w:space="0" w:color="95BA98"/>
        <w:insideH w:val="single" w:sz="8" w:space="0" w:color="95BA98"/>
      </w:tblBorders>
    </w:tblPr>
    <w:tblStylePr w:type="firstRow">
      <w:pPr>
        <w:spacing w:before="0" w:after="0" w:line="240" w:lineRule="auto"/>
      </w:pPr>
      <w:rPr>
        <w:b/>
        <w:bCs/>
        <w:color w:val="FFFFFF"/>
      </w:rPr>
      <w:tblPr/>
      <w:tcPr>
        <w:tcBorders>
          <w:top w:val="single" w:sz="8" w:space="0" w:color="95BA98"/>
          <w:left w:val="single" w:sz="8" w:space="0" w:color="95BA98"/>
          <w:bottom w:val="single" w:sz="8" w:space="0" w:color="95BA98"/>
          <w:right w:val="single" w:sz="8" w:space="0" w:color="95BA98"/>
          <w:insideH w:val="nil"/>
          <w:insideV w:val="nil"/>
        </w:tcBorders>
        <w:shd w:val="clear" w:color="auto" w:fill="72A376"/>
      </w:tcPr>
    </w:tblStylePr>
    <w:tblStylePr w:type="lastRow">
      <w:pPr>
        <w:spacing w:before="0" w:after="0" w:line="240" w:lineRule="auto"/>
      </w:pPr>
      <w:rPr>
        <w:b/>
        <w:bCs/>
      </w:rPr>
      <w:tblPr/>
      <w:tcPr>
        <w:tcBorders>
          <w:top w:val="double" w:sz="6" w:space="0" w:color="95BA98"/>
          <w:left w:val="single" w:sz="8" w:space="0" w:color="95BA98"/>
          <w:bottom w:val="single" w:sz="8" w:space="0" w:color="95BA98"/>
          <w:right w:val="single" w:sz="8" w:space="0" w:color="95BA98"/>
          <w:insideH w:val="nil"/>
          <w:insideV w:val="nil"/>
        </w:tcBorders>
      </w:tcPr>
    </w:tblStylePr>
    <w:tblStylePr w:type="firstCol">
      <w:rPr>
        <w:b/>
        <w:bCs/>
      </w:rPr>
    </w:tblStylePr>
    <w:tblStylePr w:type="lastCol">
      <w:rPr>
        <w:b/>
        <w:bCs/>
      </w:rPr>
    </w:tblStylePr>
    <w:tblStylePr w:type="band1Vert">
      <w:tblPr/>
      <w:tcPr>
        <w:shd w:val="clear" w:color="auto" w:fill="DCE8DC"/>
      </w:tcPr>
    </w:tblStylePr>
    <w:tblStylePr w:type="band1Horz">
      <w:tblPr/>
      <w:tcPr>
        <w:tcBorders>
          <w:insideH w:val="nil"/>
          <w:insideV w:val="nil"/>
        </w:tcBorders>
        <w:shd w:val="clear" w:color="auto" w:fill="DCE8DC"/>
      </w:tcPr>
    </w:tblStylePr>
    <w:tblStylePr w:type="band2Horz">
      <w:tblPr/>
      <w:tcPr>
        <w:tcBorders>
          <w:insideH w:val="nil"/>
          <w:insideV w:val="nil"/>
        </w:tcBorders>
      </w:tcPr>
    </w:tblStylePr>
  </w:style>
  <w:style w:type="table" w:styleId="LightList-Accent2">
    <w:name w:val="Light List Accent 2"/>
    <w:basedOn w:val="TableNormal"/>
    <w:uiPriority w:val="61"/>
    <w:rsid w:val="00106428"/>
    <w:tblPr>
      <w:tblStyleRowBandSize w:val="1"/>
      <w:tblStyleColBandSize w:val="1"/>
      <w:tblBorders>
        <w:top w:val="single" w:sz="8" w:space="0" w:color="B0CCB0"/>
        <w:left w:val="single" w:sz="8" w:space="0" w:color="B0CCB0"/>
        <w:bottom w:val="single" w:sz="8" w:space="0" w:color="B0CCB0"/>
        <w:right w:val="single" w:sz="8" w:space="0" w:color="B0CCB0"/>
      </w:tblBorders>
    </w:tblPr>
    <w:tblStylePr w:type="firstRow">
      <w:pPr>
        <w:spacing w:before="0" w:after="0" w:line="240" w:lineRule="auto"/>
      </w:pPr>
      <w:rPr>
        <w:b/>
        <w:bCs/>
        <w:color w:val="FFFFFF"/>
      </w:rPr>
      <w:tblPr/>
      <w:tcPr>
        <w:shd w:val="clear" w:color="auto" w:fill="B0CCB0"/>
      </w:tcPr>
    </w:tblStylePr>
    <w:tblStylePr w:type="lastRow">
      <w:pPr>
        <w:spacing w:before="0" w:after="0" w:line="240" w:lineRule="auto"/>
      </w:pPr>
      <w:rPr>
        <w:b/>
        <w:bCs/>
      </w:rPr>
      <w:tblPr/>
      <w:tcPr>
        <w:tcBorders>
          <w:top w:val="double" w:sz="6" w:space="0" w:color="B0CCB0"/>
          <w:left w:val="single" w:sz="8" w:space="0" w:color="B0CCB0"/>
          <w:bottom w:val="single" w:sz="8" w:space="0" w:color="B0CCB0"/>
          <w:right w:val="single" w:sz="8" w:space="0" w:color="B0CCB0"/>
        </w:tcBorders>
      </w:tcPr>
    </w:tblStylePr>
    <w:tblStylePr w:type="firstCol">
      <w:rPr>
        <w:b/>
        <w:bCs/>
      </w:rPr>
    </w:tblStylePr>
    <w:tblStylePr w:type="lastCol">
      <w:rPr>
        <w:b/>
        <w:bCs/>
      </w:rPr>
    </w:tblStylePr>
    <w:tblStylePr w:type="band1Vert">
      <w:tblPr/>
      <w:tcPr>
        <w:tcBorders>
          <w:top w:val="single" w:sz="8" w:space="0" w:color="B0CCB0"/>
          <w:left w:val="single" w:sz="8" w:space="0" w:color="B0CCB0"/>
          <w:bottom w:val="single" w:sz="8" w:space="0" w:color="B0CCB0"/>
          <w:right w:val="single" w:sz="8" w:space="0" w:color="B0CCB0"/>
        </w:tcBorders>
      </w:tcPr>
    </w:tblStylePr>
    <w:tblStylePr w:type="band1Horz">
      <w:tblPr/>
      <w:tcPr>
        <w:tcBorders>
          <w:top w:val="single" w:sz="8" w:space="0" w:color="B0CCB0"/>
          <w:left w:val="single" w:sz="8" w:space="0" w:color="B0CCB0"/>
          <w:bottom w:val="single" w:sz="8" w:space="0" w:color="B0CCB0"/>
          <w:right w:val="single" w:sz="8" w:space="0" w:color="B0CCB0"/>
        </w:tcBorders>
      </w:tcPr>
    </w:tblStylePr>
  </w:style>
  <w:style w:type="table" w:styleId="MediumGrid1-Accent1">
    <w:name w:val="Medium Grid 1 Accent 1"/>
    <w:basedOn w:val="TableNormal"/>
    <w:uiPriority w:val="67"/>
    <w:rsid w:val="00106428"/>
    <w:tblPr>
      <w:tblStyleRowBandSize w:val="1"/>
      <w:tblStyleColBandSize w:val="1"/>
      <w:tblBorders>
        <w:top w:val="single" w:sz="8" w:space="0" w:color="95BA98"/>
        <w:left w:val="single" w:sz="8" w:space="0" w:color="95BA98"/>
        <w:bottom w:val="single" w:sz="8" w:space="0" w:color="95BA98"/>
        <w:right w:val="single" w:sz="8" w:space="0" w:color="95BA98"/>
        <w:insideH w:val="single" w:sz="8" w:space="0" w:color="95BA98"/>
        <w:insideV w:val="single" w:sz="8" w:space="0" w:color="95BA98"/>
      </w:tblBorders>
    </w:tblPr>
    <w:tcPr>
      <w:shd w:val="clear" w:color="auto" w:fill="DCE8DC"/>
    </w:tcPr>
    <w:tblStylePr w:type="firstRow">
      <w:rPr>
        <w:b/>
        <w:bCs/>
      </w:rPr>
    </w:tblStylePr>
    <w:tblStylePr w:type="lastRow">
      <w:rPr>
        <w:b/>
        <w:bCs/>
      </w:rPr>
      <w:tblPr/>
      <w:tcPr>
        <w:tcBorders>
          <w:top w:val="single" w:sz="18" w:space="0" w:color="95BA98"/>
        </w:tcBorders>
      </w:tcPr>
    </w:tblStylePr>
    <w:tblStylePr w:type="firstCol">
      <w:rPr>
        <w:b/>
        <w:bCs/>
      </w:rPr>
    </w:tblStylePr>
    <w:tblStylePr w:type="lastCol">
      <w:rPr>
        <w:b/>
        <w:bCs/>
      </w:rPr>
    </w:tblStylePr>
    <w:tblStylePr w:type="band1Vert">
      <w:tblPr/>
      <w:tcPr>
        <w:shd w:val="clear" w:color="auto" w:fill="B8D1BA"/>
      </w:tcPr>
    </w:tblStylePr>
    <w:tblStylePr w:type="band1Horz">
      <w:tblPr/>
      <w:tcPr>
        <w:shd w:val="clear" w:color="auto" w:fill="B8D1BA"/>
      </w:tcPr>
    </w:tblStylePr>
  </w:style>
  <w:style w:type="table" w:styleId="MediumGrid1-Accent2">
    <w:name w:val="Medium Grid 1 Accent 2"/>
    <w:basedOn w:val="TableNormal"/>
    <w:uiPriority w:val="67"/>
    <w:rsid w:val="00E80A5F"/>
    <w:tblPr>
      <w:tblStyleRowBandSize w:val="1"/>
      <w:tblStyleColBandSize w:val="1"/>
      <w:tblBorders>
        <w:top w:val="single" w:sz="8" w:space="0" w:color="C3D8C3"/>
        <w:left w:val="single" w:sz="8" w:space="0" w:color="C3D8C3"/>
        <w:bottom w:val="single" w:sz="8" w:space="0" w:color="C3D8C3"/>
        <w:right w:val="single" w:sz="8" w:space="0" w:color="C3D8C3"/>
        <w:insideH w:val="single" w:sz="8" w:space="0" w:color="C3D8C3"/>
        <w:insideV w:val="single" w:sz="8" w:space="0" w:color="C3D8C3"/>
      </w:tblBorders>
    </w:tblPr>
    <w:tcPr>
      <w:shd w:val="clear" w:color="auto" w:fill="EBF2EB"/>
    </w:tcPr>
    <w:tblStylePr w:type="firstRow">
      <w:rPr>
        <w:b/>
        <w:bCs/>
      </w:rPr>
    </w:tblStylePr>
    <w:tblStylePr w:type="lastRow">
      <w:rPr>
        <w:b/>
        <w:bCs/>
      </w:rPr>
      <w:tblPr/>
      <w:tcPr>
        <w:tcBorders>
          <w:top w:val="single" w:sz="18" w:space="0" w:color="C3D8C3"/>
        </w:tcBorders>
      </w:tcPr>
    </w:tblStylePr>
    <w:tblStylePr w:type="firstCol">
      <w:rPr>
        <w:b/>
        <w:bCs/>
      </w:rPr>
    </w:tblStylePr>
    <w:tblStylePr w:type="lastCol">
      <w:rPr>
        <w:b/>
        <w:bCs/>
      </w:rPr>
    </w:tblStylePr>
    <w:tblStylePr w:type="band1Vert">
      <w:tblPr/>
      <w:tcPr>
        <w:shd w:val="clear" w:color="auto" w:fill="D7E5D7"/>
      </w:tcPr>
    </w:tblStylePr>
    <w:tblStylePr w:type="band1Horz">
      <w:tblPr/>
      <w:tcPr>
        <w:shd w:val="clear" w:color="auto" w:fill="D7E5D7"/>
      </w:tcPr>
    </w:tblStylePr>
  </w:style>
  <w:style w:type="paragraph" w:customStyle="1" w:styleId="Clauses">
    <w:name w:val="Clauses"/>
    <w:basedOn w:val="Normal"/>
    <w:link w:val="ClausesChar"/>
    <w:rsid w:val="00D5434C"/>
    <w:pPr>
      <w:keepLines/>
      <w:spacing w:before="360" w:line="360" w:lineRule="auto"/>
      <w:ind w:left="737"/>
      <w:jc w:val="both"/>
    </w:pPr>
    <w:rPr>
      <w:rFonts w:ascii="Arial" w:hAnsi="Arial"/>
      <w:sz w:val="21"/>
      <w:szCs w:val="20"/>
      <w:lang w:val="x-none" w:eastAsia="x-none"/>
    </w:rPr>
  </w:style>
  <w:style w:type="character" w:customStyle="1" w:styleId="ClausesChar">
    <w:name w:val="Clauses Char"/>
    <w:link w:val="Clauses"/>
    <w:rsid w:val="00D5434C"/>
    <w:rPr>
      <w:rFonts w:ascii="Arial" w:hAnsi="Arial"/>
      <w:sz w:val="21"/>
      <w:lang w:val="x-none"/>
    </w:rPr>
  </w:style>
  <w:style w:type="table" w:styleId="LightList-Accent1">
    <w:name w:val="Light List Accent 1"/>
    <w:basedOn w:val="TableNormal"/>
    <w:uiPriority w:val="61"/>
    <w:rsid w:val="00DA2ED8"/>
    <w:tblPr>
      <w:tblStyleRowBandSize w:val="1"/>
      <w:tblStyleColBandSize w:val="1"/>
      <w:tblBorders>
        <w:top w:val="single" w:sz="8" w:space="0" w:color="72A376"/>
        <w:left w:val="single" w:sz="8" w:space="0" w:color="72A376"/>
        <w:bottom w:val="single" w:sz="8" w:space="0" w:color="72A376"/>
        <w:right w:val="single" w:sz="8" w:space="0" w:color="72A376"/>
      </w:tblBorders>
    </w:tblPr>
    <w:tblStylePr w:type="firstRow">
      <w:pPr>
        <w:spacing w:before="0" w:after="0" w:line="240" w:lineRule="auto"/>
      </w:pPr>
      <w:rPr>
        <w:b/>
        <w:bCs/>
        <w:color w:val="FFFFFF"/>
      </w:rPr>
      <w:tblPr/>
      <w:tcPr>
        <w:shd w:val="clear" w:color="auto" w:fill="72A376"/>
      </w:tcPr>
    </w:tblStylePr>
    <w:tblStylePr w:type="lastRow">
      <w:pPr>
        <w:spacing w:before="0" w:after="0" w:line="240" w:lineRule="auto"/>
      </w:pPr>
      <w:rPr>
        <w:b/>
        <w:bCs/>
      </w:rPr>
      <w:tblPr/>
      <w:tcPr>
        <w:tcBorders>
          <w:top w:val="double" w:sz="6" w:space="0" w:color="72A376"/>
          <w:left w:val="single" w:sz="8" w:space="0" w:color="72A376"/>
          <w:bottom w:val="single" w:sz="8" w:space="0" w:color="72A376"/>
          <w:right w:val="single" w:sz="8" w:space="0" w:color="72A376"/>
        </w:tcBorders>
      </w:tcPr>
    </w:tblStylePr>
    <w:tblStylePr w:type="firstCol">
      <w:rPr>
        <w:b/>
        <w:bCs/>
      </w:rPr>
    </w:tblStylePr>
    <w:tblStylePr w:type="lastCol">
      <w:rPr>
        <w:b/>
        <w:bCs/>
      </w:rPr>
    </w:tblStylePr>
    <w:tblStylePr w:type="band1Vert">
      <w:tblPr/>
      <w:tcPr>
        <w:tcBorders>
          <w:top w:val="single" w:sz="8" w:space="0" w:color="72A376"/>
          <w:left w:val="single" w:sz="8" w:space="0" w:color="72A376"/>
          <w:bottom w:val="single" w:sz="8" w:space="0" w:color="72A376"/>
          <w:right w:val="single" w:sz="8" w:space="0" w:color="72A376"/>
        </w:tcBorders>
      </w:tcPr>
    </w:tblStylePr>
    <w:tblStylePr w:type="band1Horz">
      <w:tblPr/>
      <w:tcPr>
        <w:tcBorders>
          <w:top w:val="single" w:sz="8" w:space="0" w:color="72A376"/>
          <w:left w:val="single" w:sz="8" w:space="0" w:color="72A376"/>
          <w:bottom w:val="single" w:sz="8" w:space="0" w:color="72A376"/>
          <w:right w:val="single" w:sz="8" w:space="0" w:color="72A376"/>
        </w:tcBorders>
      </w:tcPr>
    </w:tblStylePr>
  </w:style>
  <w:style w:type="paragraph" w:customStyle="1" w:styleId="HD6Level1">
    <w:name w:val="HD6 Level 1"/>
    <w:basedOn w:val="Normal"/>
    <w:rsid w:val="002B7D2A"/>
    <w:pPr>
      <w:numPr>
        <w:numId w:val="1"/>
      </w:numPr>
      <w:spacing w:after="240" w:line="312" w:lineRule="auto"/>
      <w:jc w:val="both"/>
    </w:pPr>
    <w:rPr>
      <w:rFonts w:ascii="Arial" w:eastAsia="Times New Roman" w:hAnsi="Arial"/>
      <w:szCs w:val="20"/>
    </w:rPr>
  </w:style>
  <w:style w:type="paragraph" w:customStyle="1" w:styleId="HD6Level2">
    <w:name w:val="HD6 Level 2"/>
    <w:basedOn w:val="HD6Level1"/>
    <w:rsid w:val="002B7D2A"/>
    <w:pPr>
      <w:numPr>
        <w:ilvl w:val="1"/>
      </w:numPr>
    </w:pPr>
  </w:style>
  <w:style w:type="paragraph" w:customStyle="1" w:styleId="HD6Level3">
    <w:name w:val="HD6 Level 3"/>
    <w:basedOn w:val="HD6Level2"/>
    <w:rsid w:val="002B7D2A"/>
    <w:pPr>
      <w:numPr>
        <w:ilvl w:val="2"/>
      </w:numPr>
    </w:pPr>
  </w:style>
  <w:style w:type="paragraph" w:customStyle="1" w:styleId="HD6Level4">
    <w:name w:val="HD6 Level 4"/>
    <w:basedOn w:val="HD6Level3"/>
    <w:rsid w:val="002B7D2A"/>
    <w:pPr>
      <w:numPr>
        <w:ilvl w:val="3"/>
      </w:numPr>
    </w:pPr>
  </w:style>
  <w:style w:type="paragraph" w:customStyle="1" w:styleId="HD6Level5">
    <w:name w:val="HD6 Level 5"/>
    <w:basedOn w:val="HD6Level4"/>
    <w:rsid w:val="002B7D2A"/>
    <w:pPr>
      <w:numPr>
        <w:ilvl w:val="4"/>
      </w:numPr>
    </w:pPr>
  </w:style>
  <w:style w:type="paragraph" w:customStyle="1" w:styleId="HD6Level6">
    <w:name w:val="HD6 Level 6"/>
    <w:basedOn w:val="HD6Level5"/>
    <w:rsid w:val="002B7D2A"/>
    <w:pPr>
      <w:numPr>
        <w:ilvl w:val="5"/>
      </w:numPr>
    </w:pPr>
  </w:style>
  <w:style w:type="paragraph" w:customStyle="1" w:styleId="HD6Level7">
    <w:name w:val="HD6 Level 7"/>
    <w:basedOn w:val="HD6Level6"/>
    <w:rsid w:val="002B7D2A"/>
    <w:pPr>
      <w:numPr>
        <w:ilvl w:val="6"/>
      </w:numPr>
    </w:pPr>
  </w:style>
  <w:style w:type="paragraph" w:customStyle="1" w:styleId="HD6Level8">
    <w:name w:val="HD6 Level 8"/>
    <w:basedOn w:val="HD6Level7"/>
    <w:rsid w:val="002B7D2A"/>
    <w:pPr>
      <w:numPr>
        <w:ilvl w:val="7"/>
      </w:numPr>
    </w:pPr>
  </w:style>
  <w:style w:type="paragraph" w:customStyle="1" w:styleId="HD6Level9">
    <w:name w:val="HD6 Level 9"/>
    <w:basedOn w:val="HD6Level8"/>
    <w:rsid w:val="002B7D2A"/>
    <w:pPr>
      <w:numPr>
        <w:ilvl w:val="8"/>
      </w:numPr>
    </w:pPr>
  </w:style>
  <w:style w:type="paragraph" w:customStyle="1" w:styleId="HD6Heading1">
    <w:name w:val="HD6 Heading 1"/>
    <w:basedOn w:val="HD6Level1"/>
    <w:next w:val="HD6Level2"/>
    <w:rsid w:val="002B7D2A"/>
    <w:pPr>
      <w:keepNext/>
      <w:jc w:val="left"/>
      <w:outlineLvl w:val="0"/>
    </w:pPr>
    <w:rPr>
      <w:b/>
      <w:caps/>
    </w:rPr>
  </w:style>
  <w:style w:type="paragraph" w:customStyle="1" w:styleId="SAS-2">
    <w:name w:val="SAS - 2"/>
    <w:next w:val="SAS-3"/>
    <w:autoRedefine/>
    <w:rsid w:val="001D4095"/>
    <w:pPr>
      <w:keepNext/>
      <w:widowControl w:val="0"/>
      <w:numPr>
        <w:ilvl w:val="1"/>
        <w:numId w:val="2"/>
      </w:numPr>
      <w:tabs>
        <w:tab w:val="clear" w:pos="1276"/>
        <w:tab w:val="num" w:pos="567"/>
      </w:tabs>
      <w:spacing w:before="180"/>
      <w:ind w:left="567"/>
      <w:outlineLvl w:val="1"/>
    </w:pPr>
    <w:rPr>
      <w:rFonts w:ascii="Arial" w:eastAsia="Times New Roman" w:hAnsi="Arial"/>
      <w:b/>
      <w:sz w:val="22"/>
      <w:szCs w:val="22"/>
    </w:rPr>
  </w:style>
  <w:style w:type="paragraph" w:customStyle="1" w:styleId="SAS-3">
    <w:name w:val="SAS - 3"/>
    <w:link w:val="SAS-3Char"/>
    <w:autoRedefine/>
    <w:rsid w:val="002E6D58"/>
    <w:pPr>
      <w:tabs>
        <w:tab w:val="left" w:pos="180"/>
        <w:tab w:val="left" w:pos="270"/>
        <w:tab w:val="left" w:pos="990"/>
      </w:tabs>
      <w:spacing w:after="120"/>
      <w:ind w:firstLine="270"/>
      <w:jc w:val="both"/>
      <w:outlineLvl w:val="2"/>
    </w:pPr>
    <w:rPr>
      <w:rFonts w:ascii="Arial" w:eastAsia="Times New Roman" w:hAnsi="Arial"/>
      <w:sz w:val="22"/>
      <w:szCs w:val="22"/>
      <w:lang w:eastAsia="en-US"/>
    </w:rPr>
  </w:style>
  <w:style w:type="character" w:customStyle="1" w:styleId="SAS-3Char">
    <w:name w:val="SAS - 3 Char"/>
    <w:link w:val="SAS-3"/>
    <w:rsid w:val="002E6D58"/>
    <w:rPr>
      <w:rFonts w:ascii="Arial" w:eastAsia="Times New Roman" w:hAnsi="Arial"/>
      <w:sz w:val="22"/>
      <w:szCs w:val="22"/>
      <w:lang w:eastAsia="en-US"/>
    </w:rPr>
  </w:style>
  <w:style w:type="paragraph" w:customStyle="1" w:styleId="SAS-4">
    <w:name w:val="SAS - 4"/>
    <w:autoRedefine/>
    <w:rsid w:val="001D4095"/>
    <w:pPr>
      <w:numPr>
        <w:ilvl w:val="3"/>
        <w:numId w:val="2"/>
      </w:numPr>
      <w:tabs>
        <w:tab w:val="clear" w:pos="2835"/>
        <w:tab w:val="left" w:pos="993"/>
      </w:tabs>
      <w:spacing w:after="120"/>
      <w:ind w:left="992" w:hanging="425"/>
      <w:jc w:val="both"/>
      <w:outlineLvl w:val="3"/>
    </w:pPr>
    <w:rPr>
      <w:rFonts w:ascii="Arial" w:eastAsia="Times New Roman" w:hAnsi="Arial"/>
      <w:sz w:val="22"/>
      <w:szCs w:val="22"/>
    </w:rPr>
  </w:style>
  <w:style w:type="paragraph" w:customStyle="1" w:styleId="SAS4Body">
    <w:name w:val="SAS 4 Body"/>
    <w:link w:val="SAS4BodyChar"/>
    <w:autoRedefine/>
    <w:rsid w:val="001D4095"/>
    <w:pPr>
      <w:keepNext/>
      <w:spacing w:after="120"/>
      <w:ind w:left="992"/>
      <w:jc w:val="both"/>
    </w:pPr>
    <w:rPr>
      <w:rFonts w:ascii="Arial" w:eastAsia="Times New Roman" w:hAnsi="Arial"/>
      <w:sz w:val="22"/>
      <w:szCs w:val="22"/>
      <w:lang w:eastAsia="en-US"/>
    </w:rPr>
  </w:style>
  <w:style w:type="character" w:customStyle="1" w:styleId="SAS4BodyChar">
    <w:name w:val="SAS 4 Body Char"/>
    <w:link w:val="SAS4Body"/>
    <w:rsid w:val="001D4095"/>
    <w:rPr>
      <w:rFonts w:ascii="Arial" w:eastAsia="Times New Roman" w:hAnsi="Arial"/>
      <w:sz w:val="22"/>
      <w:szCs w:val="22"/>
      <w:lang w:eastAsia="en-US"/>
    </w:rPr>
  </w:style>
  <w:style w:type="paragraph" w:customStyle="1" w:styleId="SAS-5">
    <w:name w:val="SAS - 5"/>
    <w:basedOn w:val="SAS-4"/>
    <w:autoRedefine/>
    <w:rsid w:val="001D4095"/>
    <w:pPr>
      <w:numPr>
        <w:ilvl w:val="4"/>
      </w:numPr>
      <w:spacing w:before="60"/>
      <w:ind w:left="1418" w:hanging="425"/>
      <w:outlineLvl w:val="4"/>
    </w:pPr>
    <w:rPr>
      <w:lang w:eastAsia="en-US"/>
    </w:rPr>
  </w:style>
  <w:style w:type="paragraph" w:customStyle="1" w:styleId="SAS-2Body">
    <w:name w:val="SAS - 2 Body"/>
    <w:autoRedefine/>
    <w:rsid w:val="006A0568"/>
    <w:pPr>
      <w:keepNext/>
      <w:ind w:firstLine="270"/>
      <w:jc w:val="both"/>
    </w:pPr>
    <w:rPr>
      <w:rFonts w:ascii="Arial" w:eastAsia="Times New Roman" w:hAnsi="Arial"/>
      <w:sz w:val="22"/>
      <w:szCs w:val="22"/>
    </w:rPr>
  </w:style>
  <w:style w:type="paragraph" w:customStyle="1" w:styleId="1bodycopy10pt">
    <w:name w:val="1 body copy 10pt"/>
    <w:basedOn w:val="Normal"/>
    <w:link w:val="1bodycopy10ptChar"/>
    <w:qFormat/>
    <w:rsid w:val="00482753"/>
    <w:pPr>
      <w:spacing w:after="120" w:line="240" w:lineRule="auto"/>
    </w:pPr>
    <w:rPr>
      <w:rFonts w:ascii="Arial" w:eastAsia="MS Mincho" w:hAnsi="Arial"/>
      <w:sz w:val="20"/>
      <w:szCs w:val="24"/>
      <w:lang w:val="en-US"/>
    </w:rPr>
  </w:style>
  <w:style w:type="paragraph" w:customStyle="1" w:styleId="4Bulletedcopyblue">
    <w:name w:val="4 Bulleted copy blue"/>
    <w:basedOn w:val="Normal"/>
    <w:qFormat/>
    <w:rsid w:val="00482753"/>
    <w:pPr>
      <w:numPr>
        <w:numId w:val="4"/>
      </w:numPr>
      <w:spacing w:after="120" w:line="240" w:lineRule="auto"/>
    </w:pPr>
    <w:rPr>
      <w:rFonts w:ascii="Arial" w:eastAsia="MS Mincho" w:hAnsi="Arial" w:cs="Arial"/>
      <w:sz w:val="20"/>
      <w:szCs w:val="20"/>
      <w:lang w:val="en-US"/>
    </w:rPr>
  </w:style>
  <w:style w:type="paragraph" w:customStyle="1" w:styleId="9Secondbullet">
    <w:name w:val="9 Second bullet"/>
    <w:basedOn w:val="1bodycopy10pt"/>
    <w:rsid w:val="00482753"/>
    <w:pPr>
      <w:numPr>
        <w:numId w:val="3"/>
      </w:numPr>
      <w:tabs>
        <w:tab w:val="num" w:pos="360"/>
      </w:tabs>
      <w:ind w:left="0" w:right="567" w:firstLine="0"/>
    </w:pPr>
  </w:style>
  <w:style w:type="character" w:customStyle="1" w:styleId="1bodycopy10ptChar">
    <w:name w:val="1 body copy 10pt Char"/>
    <w:link w:val="1bodycopy10pt"/>
    <w:rsid w:val="00482753"/>
    <w:rPr>
      <w:rFonts w:ascii="Arial" w:eastAsia="MS Mincho" w:hAnsi="Arial"/>
      <w:szCs w:val="24"/>
      <w:lang w:val="en-US" w:eastAsia="en-US"/>
    </w:rPr>
  </w:style>
  <w:style w:type="paragraph" w:customStyle="1" w:styleId="6Abstract">
    <w:name w:val="6 Abstract"/>
    <w:qFormat/>
    <w:rsid w:val="00482753"/>
    <w:pPr>
      <w:spacing w:after="240" w:line="259" w:lineRule="auto"/>
    </w:pPr>
    <w:rPr>
      <w:rFonts w:ascii="Arial" w:eastAsia="MS Mincho" w:hAnsi="Arial"/>
      <w:sz w:val="28"/>
      <w:szCs w:val="28"/>
      <w:lang w:val="en-US" w:eastAsia="en-US"/>
    </w:rPr>
  </w:style>
  <w:style w:type="paragraph" w:styleId="TOC1">
    <w:name w:val="toc 1"/>
    <w:basedOn w:val="Normal"/>
    <w:next w:val="Normal"/>
    <w:autoRedefine/>
    <w:uiPriority w:val="39"/>
    <w:unhideWhenUsed/>
    <w:rsid w:val="00482753"/>
    <w:pPr>
      <w:spacing w:after="100" w:line="240" w:lineRule="auto"/>
    </w:pPr>
    <w:rPr>
      <w:rFonts w:ascii="Arial" w:eastAsia="MS Mincho" w:hAnsi="Arial"/>
      <w:sz w:val="20"/>
      <w:szCs w:val="24"/>
      <w:lang w:val="en-US"/>
    </w:rPr>
  </w:style>
  <w:style w:type="paragraph" w:customStyle="1" w:styleId="Tablebodycopy">
    <w:name w:val="Table body copy"/>
    <w:basedOn w:val="1bodycopy10pt"/>
    <w:qFormat/>
    <w:rsid w:val="00482753"/>
    <w:pPr>
      <w:keepLines/>
      <w:spacing w:after="60"/>
      <w:textboxTightWrap w:val="allLines"/>
    </w:pPr>
  </w:style>
  <w:style w:type="paragraph" w:customStyle="1" w:styleId="Tablecopybulleted">
    <w:name w:val="Table copy bulleted"/>
    <w:basedOn w:val="Tablebodycopy"/>
    <w:qFormat/>
    <w:rsid w:val="00482753"/>
    <w:pPr>
      <w:numPr>
        <w:numId w:val="5"/>
      </w:numPr>
      <w:tabs>
        <w:tab w:val="num" w:pos="360"/>
      </w:tabs>
      <w:ind w:left="0" w:firstLine="0"/>
    </w:pPr>
  </w:style>
  <w:style w:type="paragraph" w:customStyle="1" w:styleId="Subhead2">
    <w:name w:val="Subhead 2"/>
    <w:basedOn w:val="1bodycopy10pt"/>
    <w:next w:val="1bodycopy10pt"/>
    <w:link w:val="Subhead2Char"/>
    <w:qFormat/>
    <w:rsid w:val="00482753"/>
    <w:pPr>
      <w:spacing w:before="240"/>
    </w:pPr>
    <w:rPr>
      <w:b/>
      <w:color w:val="12263F"/>
      <w:sz w:val="24"/>
    </w:rPr>
  </w:style>
  <w:style w:type="character" w:customStyle="1" w:styleId="Subhead2Char">
    <w:name w:val="Subhead 2 Char"/>
    <w:link w:val="Subhead2"/>
    <w:rsid w:val="00482753"/>
    <w:rPr>
      <w:rFonts w:ascii="Arial" w:eastAsia="MS Mincho" w:hAnsi="Arial"/>
      <w:b/>
      <w:color w:val="12263F"/>
      <w:sz w:val="24"/>
      <w:szCs w:val="24"/>
      <w:lang w:val="en-US" w:eastAsia="en-US"/>
    </w:rPr>
  </w:style>
  <w:style w:type="paragraph" w:styleId="BodyText3">
    <w:name w:val="Body Text 3"/>
    <w:basedOn w:val="Normal"/>
    <w:link w:val="BodyText3Char"/>
    <w:uiPriority w:val="99"/>
    <w:unhideWhenUsed/>
    <w:rsid w:val="0004608C"/>
    <w:pPr>
      <w:spacing w:after="120"/>
    </w:pPr>
    <w:rPr>
      <w:sz w:val="16"/>
      <w:szCs w:val="16"/>
    </w:rPr>
  </w:style>
  <w:style w:type="character" w:customStyle="1" w:styleId="BodyText3Char">
    <w:name w:val="Body Text 3 Char"/>
    <w:link w:val="BodyText3"/>
    <w:uiPriority w:val="99"/>
    <w:rsid w:val="0004608C"/>
    <w:rPr>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608429">
      <w:bodyDiv w:val="1"/>
      <w:marLeft w:val="0"/>
      <w:marRight w:val="0"/>
      <w:marTop w:val="0"/>
      <w:marBottom w:val="0"/>
      <w:divBdr>
        <w:top w:val="none" w:sz="0" w:space="0" w:color="auto"/>
        <w:left w:val="none" w:sz="0" w:space="0" w:color="auto"/>
        <w:bottom w:val="none" w:sz="0" w:space="0" w:color="auto"/>
        <w:right w:val="none" w:sz="0" w:space="0" w:color="auto"/>
      </w:divBdr>
    </w:div>
    <w:div w:id="1031303642">
      <w:bodyDiv w:val="1"/>
      <w:marLeft w:val="0"/>
      <w:marRight w:val="0"/>
      <w:marTop w:val="0"/>
      <w:marBottom w:val="0"/>
      <w:divBdr>
        <w:top w:val="none" w:sz="0" w:space="0" w:color="auto"/>
        <w:left w:val="none" w:sz="0" w:space="0" w:color="auto"/>
        <w:bottom w:val="none" w:sz="0" w:space="0" w:color="auto"/>
        <w:right w:val="none" w:sz="0" w:space="0" w:color="auto"/>
      </w:divBdr>
    </w:div>
    <w:div w:id="1696419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assets.publishing.service.gov.uk/government/uploads/system/uploads/attachment_data/file/748474/181008_schools_statutory_guidance_final.pdf"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8BC041-B2AE-4DBA-964D-6B636D27B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1285</Words>
  <Characters>7329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8597</CharactersWithSpaces>
  <SharedDoc>false</SharedDoc>
  <HLinks>
    <vt:vector size="6" baseType="variant">
      <vt:variant>
        <vt:i4>7929941</vt:i4>
      </vt:variant>
      <vt:variant>
        <vt:i4>0</vt:i4>
      </vt:variant>
      <vt:variant>
        <vt:i4>0</vt:i4>
      </vt:variant>
      <vt:variant>
        <vt:i4>5</vt:i4>
      </vt:variant>
      <vt:variant>
        <vt:lpwstr>https://assets.publishing.service.gov.uk/government/uploads/system/uploads/attachment_data/file/748474/181008_schools_statutory_guidance_final.pdf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17shanroge</dc:creator>
  <cp:keywords/>
  <cp:lastModifiedBy>K Douglas</cp:lastModifiedBy>
  <cp:revision>2</cp:revision>
  <cp:lastPrinted>2020-03-04T15:48:00Z</cp:lastPrinted>
  <dcterms:created xsi:type="dcterms:W3CDTF">2024-07-02T08:55:00Z</dcterms:created>
  <dcterms:modified xsi:type="dcterms:W3CDTF">2024-07-02T08:55:00Z</dcterms:modified>
</cp:coreProperties>
</file>